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8DC1" w14:textId="77777777" w:rsidR="00B77F9A" w:rsidRPr="007A43DA" w:rsidRDefault="0085057F" w:rsidP="00B77F9A">
      <w:pPr>
        <w:pStyle w:val="Heading2"/>
        <w:jc w:val="center"/>
        <w:rPr>
          <w:color w:val="44546A" w:themeColor="text2"/>
          <w:sz w:val="36"/>
        </w:rPr>
      </w:pPr>
      <w:r w:rsidRPr="007A43DA">
        <w:rPr>
          <w:color w:val="44546A" w:themeColor="text2"/>
          <w:sz w:val="36"/>
        </w:rPr>
        <w:t>Provisional</w:t>
      </w:r>
      <w:r w:rsidR="00B77F9A" w:rsidRPr="007A43DA">
        <w:rPr>
          <w:color w:val="44546A" w:themeColor="text2"/>
          <w:sz w:val="36"/>
        </w:rPr>
        <w:t xml:space="preserve"> Agenda</w:t>
      </w:r>
    </w:p>
    <w:p w14:paraId="646C09E4" w14:textId="42C7BCC4" w:rsidR="00B77F9A" w:rsidRDefault="00E23B71" w:rsidP="00B77F9A">
      <w:pPr>
        <w:pStyle w:val="Heading2"/>
        <w:jc w:val="center"/>
        <w:rPr>
          <w:color w:val="44546A" w:themeColor="text2"/>
        </w:rPr>
      </w:pPr>
      <w:r>
        <w:rPr>
          <w:color w:val="44546A" w:themeColor="text2"/>
        </w:rPr>
        <w:t>1st</w:t>
      </w:r>
      <w:r w:rsidR="002269D0">
        <w:rPr>
          <w:color w:val="44546A" w:themeColor="text2"/>
        </w:rPr>
        <w:t xml:space="preserve"> </w:t>
      </w:r>
      <w:r w:rsidR="00B77F9A" w:rsidRPr="007A43DA">
        <w:rPr>
          <w:color w:val="44546A" w:themeColor="text2"/>
        </w:rPr>
        <w:t>Meeting of the Southern Indian Ocean Fisheries Agreement (SIOFA) Scientific Committee</w:t>
      </w:r>
      <w:r>
        <w:rPr>
          <w:color w:val="44546A" w:themeColor="text2"/>
        </w:rPr>
        <w:t>’s Ecological Risk Assessment Working Group</w:t>
      </w:r>
    </w:p>
    <w:p w14:paraId="002345EC" w14:textId="77777777" w:rsidR="00EA45FC" w:rsidRPr="00E40B9A" w:rsidRDefault="00EA45FC" w:rsidP="00E40B9A"/>
    <w:p w14:paraId="1FC4556F" w14:textId="68AFEC6A" w:rsidR="00B77F9A" w:rsidRPr="004730B1" w:rsidRDefault="00E23B71" w:rsidP="00B77F9A">
      <w:pPr>
        <w:jc w:val="center"/>
        <w:rPr>
          <w:rFonts w:asciiTheme="majorHAnsi" w:eastAsiaTheme="majorEastAsia" w:hAnsiTheme="majorHAnsi" w:cstheme="majorBidi"/>
          <w:b/>
          <w:bCs/>
          <w:color w:val="44546A" w:themeColor="text2"/>
          <w:szCs w:val="26"/>
          <w:lang w:val="fr-FR"/>
        </w:rPr>
      </w:pPr>
      <w:r>
        <w:rPr>
          <w:rFonts w:asciiTheme="majorHAnsi" w:eastAsiaTheme="majorEastAsia" w:hAnsiTheme="majorHAnsi" w:cstheme="majorBidi"/>
          <w:b/>
          <w:bCs/>
          <w:color w:val="44546A" w:themeColor="text2"/>
          <w:szCs w:val="26"/>
          <w:lang w:val="fr-FR"/>
        </w:rPr>
        <w:t xml:space="preserve">23-24 October </w:t>
      </w:r>
      <w:r w:rsidR="00A12587" w:rsidRPr="004730B1">
        <w:rPr>
          <w:rFonts w:asciiTheme="majorHAnsi" w:eastAsiaTheme="majorEastAsia" w:hAnsiTheme="majorHAnsi" w:cstheme="majorBidi"/>
          <w:b/>
          <w:bCs/>
          <w:color w:val="44546A" w:themeColor="text2"/>
          <w:szCs w:val="26"/>
          <w:lang w:val="fr-FR"/>
        </w:rPr>
        <w:t>201</w:t>
      </w:r>
      <w:r w:rsidR="00F61067" w:rsidRPr="004730B1">
        <w:rPr>
          <w:rFonts w:asciiTheme="majorHAnsi" w:eastAsiaTheme="majorEastAsia" w:hAnsiTheme="majorHAnsi" w:cstheme="majorBidi"/>
          <w:b/>
          <w:bCs/>
          <w:color w:val="44546A" w:themeColor="text2"/>
          <w:szCs w:val="26"/>
          <w:lang w:val="fr-FR"/>
        </w:rPr>
        <w:t>7</w:t>
      </w:r>
      <w:r w:rsidR="00A12587" w:rsidRPr="004730B1">
        <w:rPr>
          <w:rFonts w:asciiTheme="majorHAnsi" w:eastAsiaTheme="majorEastAsia" w:hAnsiTheme="majorHAnsi" w:cstheme="majorBidi"/>
          <w:b/>
          <w:bCs/>
          <w:color w:val="44546A" w:themeColor="text2"/>
          <w:szCs w:val="26"/>
          <w:lang w:val="fr-FR"/>
        </w:rPr>
        <w:t xml:space="preserve">, </w:t>
      </w:r>
      <w:r>
        <w:rPr>
          <w:rFonts w:asciiTheme="majorHAnsi" w:eastAsiaTheme="majorEastAsia" w:hAnsiTheme="majorHAnsi" w:cstheme="majorBidi"/>
          <w:b/>
          <w:bCs/>
          <w:color w:val="44546A" w:themeColor="text2"/>
          <w:szCs w:val="26"/>
          <w:lang w:val="fr-FR"/>
        </w:rPr>
        <w:t>CSIRO Hobart</w:t>
      </w:r>
    </w:p>
    <w:p w14:paraId="18994166" w14:textId="36B8F763" w:rsidR="00F277E6" w:rsidRPr="007A43DA" w:rsidRDefault="00175530" w:rsidP="00F277E6">
      <w:pPr>
        <w:jc w:val="cente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 xml:space="preserve">Meeting Room - </w:t>
      </w:r>
      <w:r w:rsidR="00E23B71">
        <w:rPr>
          <w:rFonts w:asciiTheme="majorHAnsi" w:eastAsiaTheme="majorEastAsia" w:hAnsiTheme="majorHAnsi" w:cstheme="majorBidi"/>
          <w:b/>
          <w:bCs/>
          <w:color w:val="44546A" w:themeColor="text2"/>
          <w:szCs w:val="26"/>
        </w:rPr>
        <w:t>XXX</w:t>
      </w:r>
    </w:p>
    <w:p w14:paraId="4A0E427D" w14:textId="382EA2AF" w:rsidR="00B77F9A" w:rsidRPr="007A43DA" w:rsidRDefault="00B77F9A" w:rsidP="00B77F9A">
      <w:pPr>
        <w:jc w:val="cente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t xml:space="preserve">Chair: Dr </w:t>
      </w:r>
      <w:r w:rsidR="00E23B71">
        <w:rPr>
          <w:rFonts w:asciiTheme="majorHAnsi" w:eastAsiaTheme="majorEastAsia" w:hAnsiTheme="majorHAnsi" w:cstheme="majorBidi"/>
          <w:b/>
          <w:bCs/>
          <w:color w:val="44546A" w:themeColor="text2"/>
          <w:szCs w:val="26"/>
        </w:rPr>
        <w:t>Simon Nicol</w:t>
      </w:r>
    </w:p>
    <w:p w14:paraId="201993F9" w14:textId="7E651D82" w:rsidR="00065F50" w:rsidRPr="001839E3" w:rsidRDefault="00756DBA" w:rsidP="0085057F">
      <w:pPr>
        <w:rPr>
          <w:rFonts w:asciiTheme="majorHAnsi" w:eastAsiaTheme="majorEastAsia" w:hAnsiTheme="majorHAnsi" w:cstheme="majorBidi"/>
          <w:bCs/>
          <w:color w:val="44546A" w:themeColor="text2"/>
          <w:szCs w:val="26"/>
        </w:rPr>
      </w:pPr>
      <w:r w:rsidRPr="007A43DA">
        <w:rPr>
          <w:rFonts w:asciiTheme="majorHAnsi" w:eastAsiaTheme="majorEastAsia" w:hAnsiTheme="majorHAnsi" w:cstheme="majorBidi"/>
          <w:b/>
          <w:bCs/>
          <w:color w:val="44546A" w:themeColor="text2"/>
          <w:szCs w:val="26"/>
        </w:rPr>
        <w:br/>
      </w:r>
      <w:r w:rsidR="00065F50" w:rsidRPr="001839E3">
        <w:rPr>
          <w:rFonts w:asciiTheme="majorHAnsi" w:eastAsiaTheme="majorEastAsia" w:hAnsiTheme="majorHAnsi" w:cstheme="majorBidi"/>
          <w:bCs/>
          <w:color w:val="44546A" w:themeColor="text2"/>
          <w:szCs w:val="26"/>
        </w:rPr>
        <w:t xml:space="preserve">The </w:t>
      </w:r>
      <w:r w:rsidR="00A12587" w:rsidRPr="001839E3">
        <w:rPr>
          <w:rFonts w:asciiTheme="majorHAnsi" w:eastAsiaTheme="majorEastAsia" w:hAnsiTheme="majorHAnsi" w:cstheme="majorBidi"/>
          <w:bCs/>
          <w:color w:val="44546A" w:themeColor="text2"/>
          <w:szCs w:val="26"/>
        </w:rPr>
        <w:t xml:space="preserve">provisional agenda for the </w:t>
      </w:r>
      <w:r w:rsidR="005F2C86">
        <w:rPr>
          <w:rFonts w:asciiTheme="majorHAnsi" w:eastAsiaTheme="majorEastAsia" w:hAnsiTheme="majorHAnsi" w:cstheme="majorBidi"/>
          <w:bCs/>
          <w:color w:val="44546A" w:themeColor="text2"/>
          <w:szCs w:val="26"/>
        </w:rPr>
        <w:t>1</w:t>
      </w:r>
      <w:r w:rsidR="005F2C86" w:rsidRPr="005F2C86">
        <w:rPr>
          <w:rFonts w:asciiTheme="majorHAnsi" w:eastAsiaTheme="majorEastAsia" w:hAnsiTheme="majorHAnsi" w:cstheme="majorBidi"/>
          <w:bCs/>
          <w:color w:val="44546A" w:themeColor="text2"/>
          <w:szCs w:val="26"/>
          <w:vertAlign w:val="superscript"/>
        </w:rPr>
        <w:t>st</w:t>
      </w:r>
      <w:r w:rsidR="005F2C86">
        <w:rPr>
          <w:rFonts w:asciiTheme="majorHAnsi" w:eastAsiaTheme="majorEastAsia" w:hAnsiTheme="majorHAnsi" w:cstheme="majorBidi"/>
          <w:bCs/>
          <w:color w:val="44546A" w:themeColor="text2"/>
          <w:szCs w:val="26"/>
        </w:rPr>
        <w:t xml:space="preserve"> </w:t>
      </w:r>
      <w:r w:rsidR="00065F50" w:rsidRPr="001839E3">
        <w:rPr>
          <w:rFonts w:asciiTheme="majorHAnsi" w:eastAsiaTheme="majorEastAsia" w:hAnsiTheme="majorHAnsi" w:cstheme="majorBidi"/>
          <w:bCs/>
          <w:color w:val="44546A" w:themeColor="text2"/>
          <w:szCs w:val="26"/>
        </w:rPr>
        <w:t>meeting of the SIOFA Scientific Committee</w:t>
      </w:r>
      <w:r w:rsidR="005F2C86">
        <w:rPr>
          <w:rFonts w:asciiTheme="majorHAnsi" w:eastAsiaTheme="majorEastAsia" w:hAnsiTheme="majorHAnsi" w:cstheme="majorBidi"/>
          <w:bCs/>
          <w:color w:val="44546A" w:themeColor="text2"/>
          <w:szCs w:val="26"/>
        </w:rPr>
        <w:t>’s Ecological Risk Assessment Working Group</w:t>
      </w:r>
      <w:r w:rsidR="00065F50" w:rsidRPr="001839E3">
        <w:rPr>
          <w:rFonts w:asciiTheme="majorHAnsi" w:eastAsiaTheme="majorEastAsia" w:hAnsiTheme="majorHAnsi" w:cstheme="majorBidi"/>
          <w:bCs/>
          <w:color w:val="44546A" w:themeColor="text2"/>
          <w:szCs w:val="26"/>
        </w:rPr>
        <w:t xml:space="preserve"> has been developed to </w:t>
      </w:r>
      <w:r w:rsidRPr="001839E3">
        <w:rPr>
          <w:rFonts w:asciiTheme="majorHAnsi" w:eastAsiaTheme="majorEastAsia" w:hAnsiTheme="majorHAnsi" w:cstheme="majorBidi"/>
          <w:bCs/>
          <w:color w:val="44546A" w:themeColor="text2"/>
          <w:szCs w:val="26"/>
        </w:rPr>
        <w:t xml:space="preserve">focus on the areas of work identified </w:t>
      </w:r>
      <w:r w:rsidR="00A12587" w:rsidRPr="001839E3">
        <w:rPr>
          <w:rFonts w:asciiTheme="majorHAnsi" w:eastAsiaTheme="majorEastAsia" w:hAnsiTheme="majorHAnsi" w:cstheme="majorBidi"/>
          <w:bCs/>
          <w:color w:val="44546A" w:themeColor="text2"/>
          <w:szCs w:val="26"/>
        </w:rPr>
        <w:t>in SIOFA</w:t>
      </w:r>
      <w:r w:rsidR="005F2C86">
        <w:rPr>
          <w:rFonts w:asciiTheme="majorHAnsi" w:eastAsiaTheme="majorEastAsia" w:hAnsiTheme="majorHAnsi" w:cstheme="majorBidi"/>
          <w:bCs/>
          <w:color w:val="44546A" w:themeColor="text2"/>
          <w:szCs w:val="26"/>
        </w:rPr>
        <w:t xml:space="preserve"> SC1 and SC2 meeting reports</w:t>
      </w:r>
      <w:r w:rsidR="002269D0" w:rsidRPr="001839E3">
        <w:rPr>
          <w:rFonts w:asciiTheme="majorHAnsi" w:eastAsiaTheme="majorEastAsia" w:hAnsiTheme="majorHAnsi" w:cstheme="majorBidi"/>
          <w:bCs/>
          <w:color w:val="44546A" w:themeColor="text2"/>
          <w:szCs w:val="26"/>
        </w:rPr>
        <w:t xml:space="preserve">, </w:t>
      </w:r>
      <w:r w:rsidR="00813B19" w:rsidRPr="001839E3">
        <w:rPr>
          <w:rFonts w:asciiTheme="majorHAnsi" w:eastAsiaTheme="majorEastAsia" w:hAnsiTheme="majorHAnsi" w:cstheme="majorBidi"/>
          <w:bCs/>
          <w:color w:val="44546A" w:themeColor="text2"/>
          <w:szCs w:val="26"/>
        </w:rPr>
        <w:t>the Scientific Committee Work Plan (MoP3 Annex G)</w:t>
      </w:r>
      <w:r w:rsidR="00560C96" w:rsidRPr="001839E3">
        <w:rPr>
          <w:rFonts w:asciiTheme="majorHAnsi" w:eastAsiaTheme="majorEastAsia" w:hAnsiTheme="majorHAnsi" w:cstheme="majorBidi"/>
          <w:bCs/>
          <w:color w:val="44546A" w:themeColor="text2"/>
          <w:szCs w:val="26"/>
        </w:rPr>
        <w:t xml:space="preserve"> and</w:t>
      </w:r>
      <w:r w:rsidR="00813B19" w:rsidRPr="001839E3">
        <w:rPr>
          <w:rFonts w:asciiTheme="majorHAnsi" w:eastAsiaTheme="majorEastAsia" w:hAnsiTheme="majorHAnsi" w:cstheme="majorBidi"/>
          <w:bCs/>
          <w:color w:val="44546A" w:themeColor="text2"/>
          <w:szCs w:val="26"/>
        </w:rPr>
        <w:t xml:space="preserve"> Research Plan (SC1 Annex G) and </w:t>
      </w:r>
      <w:r w:rsidR="005F2C86">
        <w:rPr>
          <w:rFonts w:asciiTheme="majorHAnsi" w:eastAsiaTheme="majorEastAsia" w:hAnsiTheme="majorHAnsi" w:cstheme="majorBidi"/>
          <w:bCs/>
          <w:color w:val="44546A" w:themeColor="text2"/>
          <w:szCs w:val="26"/>
        </w:rPr>
        <w:t xml:space="preserve">the ERAWG’s </w:t>
      </w:r>
      <w:r w:rsidRPr="001839E3">
        <w:rPr>
          <w:rFonts w:asciiTheme="majorHAnsi" w:eastAsiaTheme="majorEastAsia" w:hAnsiTheme="majorHAnsi" w:cstheme="majorBidi"/>
          <w:bCs/>
          <w:color w:val="44546A" w:themeColor="text2"/>
          <w:szCs w:val="26"/>
        </w:rPr>
        <w:t xml:space="preserve">terms of </w:t>
      </w:r>
      <w:r w:rsidR="008C4032">
        <w:rPr>
          <w:rFonts w:asciiTheme="majorHAnsi" w:eastAsiaTheme="majorEastAsia" w:hAnsiTheme="majorHAnsi" w:cstheme="majorBidi"/>
          <w:bCs/>
          <w:color w:val="44546A" w:themeColor="text2"/>
          <w:szCs w:val="26"/>
        </w:rPr>
        <w:t>reference (included at Attachment 1)</w:t>
      </w:r>
      <w:r w:rsidRPr="001839E3">
        <w:rPr>
          <w:rFonts w:asciiTheme="majorHAnsi" w:eastAsiaTheme="majorEastAsia" w:hAnsiTheme="majorHAnsi" w:cstheme="majorBidi"/>
          <w:bCs/>
          <w:color w:val="44546A" w:themeColor="text2"/>
          <w:szCs w:val="26"/>
        </w:rPr>
        <w:t>.</w:t>
      </w:r>
      <w:r w:rsidR="00F14A28" w:rsidRPr="001839E3">
        <w:rPr>
          <w:rFonts w:asciiTheme="majorHAnsi" w:eastAsiaTheme="majorEastAsia" w:hAnsiTheme="majorHAnsi" w:cstheme="majorBidi"/>
          <w:bCs/>
          <w:color w:val="44546A" w:themeColor="text2"/>
          <w:szCs w:val="26"/>
        </w:rPr>
        <w:br/>
      </w:r>
    </w:p>
    <w:p w14:paraId="104E73C7" w14:textId="77777777" w:rsidR="008D23BF" w:rsidRPr="007A43DA" w:rsidRDefault="008D23BF" w:rsidP="008D23BF">
      <w:pPr>
        <w:pStyle w:val="ListParagraph"/>
        <w:numPr>
          <w:ilvl w:val="0"/>
          <w:numId w:val="4"/>
        </w:num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t>Opening</w:t>
      </w:r>
    </w:p>
    <w:p w14:paraId="2CBC553D" w14:textId="77777777" w:rsidR="008D23BF" w:rsidRPr="001839E3" w:rsidRDefault="008D23BF" w:rsidP="008D23BF">
      <w:pPr>
        <w:pStyle w:val="ListParagraph"/>
        <w:numPr>
          <w:ilvl w:val="1"/>
          <w:numId w:val="4"/>
        </w:numPr>
        <w:rPr>
          <w:rFonts w:asciiTheme="majorHAnsi" w:eastAsiaTheme="majorEastAsia" w:hAnsiTheme="majorHAnsi" w:cstheme="majorBidi"/>
          <w:bCs/>
          <w:color w:val="44546A" w:themeColor="text2"/>
          <w:szCs w:val="26"/>
        </w:rPr>
      </w:pPr>
      <w:r w:rsidRPr="001839E3">
        <w:rPr>
          <w:rFonts w:asciiTheme="majorHAnsi" w:eastAsiaTheme="majorEastAsia" w:hAnsiTheme="majorHAnsi" w:cstheme="majorBidi"/>
          <w:bCs/>
          <w:color w:val="44546A" w:themeColor="text2"/>
          <w:szCs w:val="26"/>
        </w:rPr>
        <w:t>Opening statement from the Chair</w:t>
      </w:r>
    </w:p>
    <w:p w14:paraId="501EC4A0" w14:textId="77777777" w:rsidR="008D23BF" w:rsidRPr="001839E3" w:rsidRDefault="008D23BF" w:rsidP="008D23BF">
      <w:pPr>
        <w:pStyle w:val="ListParagraph"/>
        <w:numPr>
          <w:ilvl w:val="1"/>
          <w:numId w:val="4"/>
        </w:numPr>
        <w:rPr>
          <w:rFonts w:asciiTheme="majorHAnsi" w:eastAsiaTheme="majorEastAsia" w:hAnsiTheme="majorHAnsi" w:cstheme="majorBidi"/>
          <w:bCs/>
          <w:color w:val="44546A" w:themeColor="text2"/>
          <w:szCs w:val="26"/>
        </w:rPr>
      </w:pPr>
      <w:r w:rsidRPr="001839E3">
        <w:rPr>
          <w:rFonts w:asciiTheme="majorHAnsi" w:eastAsiaTheme="majorEastAsia" w:hAnsiTheme="majorHAnsi" w:cstheme="majorBidi"/>
          <w:bCs/>
          <w:color w:val="44546A" w:themeColor="text2"/>
          <w:szCs w:val="26"/>
        </w:rPr>
        <w:t>Introduction of participants</w:t>
      </w:r>
      <w:r w:rsidRPr="001839E3">
        <w:rPr>
          <w:rFonts w:asciiTheme="majorHAnsi" w:eastAsiaTheme="majorEastAsia" w:hAnsiTheme="majorHAnsi" w:cstheme="majorBidi"/>
          <w:bCs/>
          <w:color w:val="44546A" w:themeColor="text2"/>
          <w:szCs w:val="26"/>
        </w:rPr>
        <w:br/>
      </w:r>
    </w:p>
    <w:p w14:paraId="476A0232" w14:textId="77777777" w:rsidR="008D23BF" w:rsidRPr="007A43DA" w:rsidRDefault="008D23BF" w:rsidP="008D23BF">
      <w:pPr>
        <w:pStyle w:val="ListParagraph"/>
        <w:numPr>
          <w:ilvl w:val="0"/>
          <w:numId w:val="4"/>
        </w:numPr>
        <w:rPr>
          <w:rFonts w:asciiTheme="majorHAnsi" w:eastAsiaTheme="majorEastAsia" w:hAnsiTheme="majorHAnsi" w:cstheme="majorBidi"/>
          <w:b/>
          <w:bCs/>
          <w:color w:val="44546A" w:themeColor="text2"/>
          <w:szCs w:val="26"/>
        </w:rPr>
      </w:pPr>
      <w:r w:rsidRPr="007A43DA">
        <w:rPr>
          <w:rFonts w:asciiTheme="majorHAnsi" w:eastAsiaTheme="majorEastAsia" w:hAnsiTheme="majorHAnsi" w:cstheme="majorBidi"/>
          <w:b/>
          <w:bCs/>
          <w:color w:val="44546A" w:themeColor="text2"/>
          <w:szCs w:val="26"/>
        </w:rPr>
        <w:t>Administrative arrangements</w:t>
      </w:r>
    </w:p>
    <w:p w14:paraId="48E30A5C" w14:textId="77777777" w:rsidR="008D23BF" w:rsidRPr="001839E3" w:rsidRDefault="008D23BF" w:rsidP="008D23BF">
      <w:pPr>
        <w:pStyle w:val="ListParagraph"/>
        <w:numPr>
          <w:ilvl w:val="1"/>
          <w:numId w:val="4"/>
        </w:numPr>
        <w:rPr>
          <w:rFonts w:asciiTheme="majorHAnsi" w:eastAsiaTheme="majorEastAsia" w:hAnsiTheme="majorHAnsi" w:cstheme="majorBidi"/>
          <w:bCs/>
          <w:color w:val="44546A" w:themeColor="text2"/>
          <w:szCs w:val="26"/>
        </w:rPr>
      </w:pPr>
      <w:r w:rsidRPr="001839E3">
        <w:rPr>
          <w:rFonts w:asciiTheme="majorHAnsi" w:eastAsiaTheme="majorEastAsia" w:hAnsiTheme="majorHAnsi" w:cstheme="majorBidi"/>
          <w:bCs/>
          <w:color w:val="44546A" w:themeColor="text2"/>
          <w:szCs w:val="26"/>
        </w:rPr>
        <w:t>Adoption of the agenda</w:t>
      </w:r>
    </w:p>
    <w:p w14:paraId="49114F3A" w14:textId="77777777" w:rsidR="008D23BF" w:rsidRPr="001839E3" w:rsidRDefault="008D23BF" w:rsidP="008D23BF">
      <w:pPr>
        <w:pStyle w:val="ListParagraph"/>
        <w:numPr>
          <w:ilvl w:val="1"/>
          <w:numId w:val="4"/>
        </w:numPr>
        <w:rPr>
          <w:rFonts w:asciiTheme="majorHAnsi" w:eastAsiaTheme="majorEastAsia" w:hAnsiTheme="majorHAnsi" w:cstheme="majorBidi"/>
          <w:bCs/>
          <w:color w:val="44546A" w:themeColor="text2"/>
          <w:szCs w:val="26"/>
        </w:rPr>
      </w:pPr>
      <w:r w:rsidRPr="001839E3">
        <w:rPr>
          <w:rFonts w:asciiTheme="majorHAnsi" w:eastAsiaTheme="majorEastAsia" w:hAnsiTheme="majorHAnsi" w:cstheme="majorBidi"/>
          <w:bCs/>
          <w:color w:val="44546A" w:themeColor="text2"/>
          <w:szCs w:val="26"/>
        </w:rPr>
        <w:t>Confirmation of meeting documents</w:t>
      </w:r>
    </w:p>
    <w:p w14:paraId="38193BD0" w14:textId="77777777" w:rsidR="008D23BF" w:rsidRPr="001839E3" w:rsidRDefault="008D23BF" w:rsidP="008D23BF">
      <w:pPr>
        <w:pStyle w:val="ListParagraph"/>
        <w:numPr>
          <w:ilvl w:val="1"/>
          <w:numId w:val="4"/>
        </w:numPr>
        <w:rPr>
          <w:rFonts w:asciiTheme="majorHAnsi" w:eastAsiaTheme="majorEastAsia" w:hAnsiTheme="majorHAnsi" w:cstheme="majorBidi"/>
          <w:bCs/>
          <w:color w:val="44546A" w:themeColor="text2"/>
          <w:szCs w:val="26"/>
        </w:rPr>
      </w:pPr>
      <w:r w:rsidRPr="001839E3">
        <w:rPr>
          <w:rFonts w:asciiTheme="majorHAnsi" w:eastAsiaTheme="majorEastAsia" w:hAnsiTheme="majorHAnsi" w:cstheme="majorBidi"/>
          <w:bCs/>
          <w:color w:val="44546A" w:themeColor="text2"/>
          <w:szCs w:val="26"/>
        </w:rPr>
        <w:t>Appointment of rapporteurs</w:t>
      </w:r>
    </w:p>
    <w:p w14:paraId="28601055" w14:textId="38A0E65B" w:rsidR="00F14A28" w:rsidRPr="001839E3" w:rsidRDefault="008D23BF" w:rsidP="00F273CF">
      <w:pPr>
        <w:pStyle w:val="ListParagraph"/>
        <w:numPr>
          <w:ilvl w:val="1"/>
          <w:numId w:val="4"/>
        </w:numPr>
        <w:rPr>
          <w:rFonts w:asciiTheme="majorHAnsi" w:eastAsiaTheme="majorEastAsia" w:hAnsiTheme="majorHAnsi" w:cstheme="majorBidi"/>
          <w:bCs/>
          <w:color w:val="44546A" w:themeColor="text2"/>
          <w:szCs w:val="26"/>
        </w:rPr>
      </w:pPr>
      <w:r w:rsidRPr="001839E3">
        <w:rPr>
          <w:rFonts w:asciiTheme="majorHAnsi" w:eastAsiaTheme="majorEastAsia" w:hAnsiTheme="majorHAnsi" w:cstheme="majorBidi"/>
          <w:bCs/>
          <w:color w:val="44546A" w:themeColor="text2"/>
          <w:szCs w:val="26"/>
        </w:rPr>
        <w:t>Review of functions and</w:t>
      </w:r>
      <w:r w:rsidR="005F2C86">
        <w:rPr>
          <w:rFonts w:asciiTheme="majorHAnsi" w:eastAsiaTheme="majorEastAsia" w:hAnsiTheme="majorHAnsi" w:cstheme="majorBidi"/>
          <w:bCs/>
          <w:color w:val="44546A" w:themeColor="text2"/>
          <w:szCs w:val="26"/>
        </w:rPr>
        <w:t xml:space="preserve"> ERAWG</w:t>
      </w:r>
      <w:r w:rsidRPr="001839E3">
        <w:rPr>
          <w:rFonts w:asciiTheme="majorHAnsi" w:eastAsiaTheme="majorEastAsia" w:hAnsiTheme="majorHAnsi" w:cstheme="majorBidi"/>
          <w:bCs/>
          <w:color w:val="44546A" w:themeColor="text2"/>
          <w:szCs w:val="26"/>
        </w:rPr>
        <w:t xml:space="preserve"> terms of</w:t>
      </w:r>
      <w:r w:rsidR="00F273CF" w:rsidRPr="001839E3">
        <w:rPr>
          <w:rFonts w:asciiTheme="majorHAnsi" w:eastAsiaTheme="majorEastAsia" w:hAnsiTheme="majorHAnsi" w:cstheme="majorBidi"/>
          <w:bCs/>
          <w:color w:val="44546A" w:themeColor="text2"/>
          <w:szCs w:val="26"/>
        </w:rPr>
        <w:t xml:space="preserve"> reference</w:t>
      </w:r>
      <w:r w:rsidR="00F14A28" w:rsidRPr="001839E3">
        <w:rPr>
          <w:rFonts w:asciiTheme="majorHAnsi" w:eastAsiaTheme="majorEastAsia" w:hAnsiTheme="majorHAnsi" w:cstheme="majorBidi"/>
          <w:bCs/>
          <w:color w:val="44546A" w:themeColor="text2"/>
          <w:szCs w:val="26"/>
        </w:rPr>
        <w:br/>
      </w:r>
    </w:p>
    <w:p w14:paraId="140C43D9" w14:textId="18AA65A6" w:rsidR="00956E96" w:rsidRDefault="005F2C86" w:rsidP="00956E96">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Overview of Ecological Risk Assessment for the Effects of Fishing (ERAEF) Framework</w:t>
      </w:r>
    </w:p>
    <w:p w14:paraId="3593A018" w14:textId="1AA679BF" w:rsidR="00956E96" w:rsidRPr="001839E3" w:rsidRDefault="005F2C86" w:rsidP="00956E96">
      <w:pPr>
        <w:pStyle w:val="ListParagraph"/>
        <w:ind w:left="360"/>
        <w:rPr>
          <w:rFonts w:asciiTheme="majorHAnsi" w:eastAsiaTheme="majorEastAsia" w:hAnsiTheme="majorHAnsi" w:cstheme="majorBidi"/>
          <w:bCs/>
          <w:i/>
          <w:color w:val="44546A" w:themeColor="text2"/>
          <w:sz w:val="18"/>
          <w:szCs w:val="18"/>
        </w:rPr>
      </w:pPr>
      <w:r>
        <w:rPr>
          <w:rFonts w:asciiTheme="majorHAnsi" w:eastAsiaTheme="majorEastAsia" w:hAnsiTheme="majorHAnsi" w:cstheme="majorBidi"/>
          <w:bCs/>
          <w:i/>
          <w:color w:val="44546A" w:themeColor="text2"/>
          <w:sz w:val="18"/>
          <w:szCs w:val="18"/>
        </w:rPr>
        <w:t>CSIRO will provide an overview of the ERAEF framework, detailing the hierarchical approach</w:t>
      </w:r>
      <w:r w:rsidR="00677919">
        <w:rPr>
          <w:rFonts w:asciiTheme="majorHAnsi" w:eastAsiaTheme="majorEastAsia" w:hAnsiTheme="majorHAnsi" w:cstheme="majorBidi"/>
          <w:bCs/>
          <w:i/>
          <w:color w:val="44546A" w:themeColor="text2"/>
          <w:sz w:val="18"/>
          <w:szCs w:val="18"/>
        </w:rPr>
        <w:t xml:space="preserve"> and PSA </w:t>
      </w:r>
      <w:r w:rsidR="00B7090E">
        <w:rPr>
          <w:rFonts w:asciiTheme="majorHAnsi" w:eastAsiaTheme="majorEastAsia" w:hAnsiTheme="majorHAnsi" w:cstheme="majorBidi"/>
          <w:bCs/>
          <w:i/>
          <w:color w:val="44546A" w:themeColor="text2"/>
          <w:sz w:val="18"/>
          <w:szCs w:val="18"/>
        </w:rPr>
        <w:t xml:space="preserve">(including </w:t>
      </w:r>
      <w:r w:rsidR="00677919">
        <w:rPr>
          <w:rFonts w:asciiTheme="majorHAnsi" w:eastAsiaTheme="majorEastAsia" w:hAnsiTheme="majorHAnsi" w:cstheme="majorBidi"/>
          <w:bCs/>
          <w:i/>
          <w:color w:val="44546A" w:themeColor="text2"/>
          <w:sz w:val="18"/>
          <w:szCs w:val="18"/>
        </w:rPr>
        <w:t>bSAFE/eSAFE</w:t>
      </w:r>
      <w:r w:rsidR="00B7090E">
        <w:rPr>
          <w:rFonts w:asciiTheme="majorHAnsi" w:eastAsiaTheme="majorEastAsia" w:hAnsiTheme="majorHAnsi" w:cstheme="majorBidi"/>
          <w:bCs/>
          <w:i/>
          <w:color w:val="44546A" w:themeColor="text2"/>
          <w:sz w:val="18"/>
          <w:szCs w:val="18"/>
        </w:rPr>
        <w:t>)</w:t>
      </w:r>
      <w:r w:rsidR="00677919">
        <w:rPr>
          <w:rFonts w:asciiTheme="majorHAnsi" w:eastAsiaTheme="majorEastAsia" w:hAnsiTheme="majorHAnsi" w:cstheme="majorBidi"/>
          <w:bCs/>
          <w:i/>
          <w:color w:val="44546A" w:themeColor="text2"/>
          <w:sz w:val="18"/>
          <w:szCs w:val="18"/>
        </w:rPr>
        <w:t xml:space="preserve"> methods</w:t>
      </w:r>
      <w:r>
        <w:rPr>
          <w:rFonts w:asciiTheme="majorHAnsi" w:eastAsiaTheme="majorEastAsia" w:hAnsiTheme="majorHAnsi" w:cstheme="majorBidi"/>
          <w:bCs/>
          <w:i/>
          <w:color w:val="44546A" w:themeColor="text2"/>
          <w:sz w:val="18"/>
          <w:szCs w:val="18"/>
        </w:rPr>
        <w:t xml:space="preserve">.  </w:t>
      </w:r>
    </w:p>
    <w:p w14:paraId="245FB75E" w14:textId="77777777" w:rsidR="00956E96" w:rsidRDefault="00956E96" w:rsidP="00956E96">
      <w:pPr>
        <w:pStyle w:val="ListParagraph"/>
        <w:ind w:left="360"/>
        <w:rPr>
          <w:rFonts w:asciiTheme="majorHAnsi" w:eastAsiaTheme="majorEastAsia" w:hAnsiTheme="majorHAnsi" w:cstheme="majorBidi"/>
          <w:b/>
          <w:bCs/>
          <w:i/>
          <w:color w:val="44546A" w:themeColor="text2"/>
          <w:sz w:val="19"/>
          <w:szCs w:val="19"/>
        </w:rPr>
      </w:pPr>
    </w:p>
    <w:p w14:paraId="4D5B4299" w14:textId="7E0ECDC2" w:rsidR="00956E96" w:rsidRDefault="005F2C86" w:rsidP="00956E96">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Overview of the deepwater sharks ecological risk assessment</w:t>
      </w:r>
    </w:p>
    <w:p w14:paraId="4116D7C0" w14:textId="7F995FFC" w:rsidR="00956E96" w:rsidRPr="001839E3" w:rsidRDefault="005F2C86" w:rsidP="00956E96">
      <w:pPr>
        <w:pStyle w:val="ListParagraph"/>
        <w:ind w:left="360"/>
        <w:rPr>
          <w:rFonts w:asciiTheme="majorHAnsi" w:eastAsiaTheme="majorEastAsia" w:hAnsiTheme="majorHAnsi" w:cstheme="majorBidi"/>
          <w:bCs/>
          <w:i/>
          <w:color w:val="44546A" w:themeColor="text2"/>
          <w:sz w:val="18"/>
          <w:szCs w:val="18"/>
        </w:rPr>
      </w:pPr>
      <w:r>
        <w:rPr>
          <w:rFonts w:asciiTheme="majorHAnsi" w:eastAsiaTheme="majorEastAsia" w:hAnsiTheme="majorHAnsi" w:cstheme="majorBidi"/>
          <w:bCs/>
          <w:i/>
          <w:color w:val="44546A" w:themeColor="text2"/>
          <w:sz w:val="18"/>
          <w:szCs w:val="18"/>
        </w:rPr>
        <w:t>ABARES will provide a brief overview of the context of the preliminary ecological risk assessment for the effects of demersal, midwater trawl, line and gillnet fishing on deepwater sharks in the southern Indian Ocean, and links to other processes (e.g. the concurrent assessment for the South Pacific Ocean</w:t>
      </w:r>
      <w:r w:rsidR="00DF551A">
        <w:rPr>
          <w:rFonts w:asciiTheme="majorHAnsi" w:eastAsiaTheme="majorEastAsia" w:hAnsiTheme="majorHAnsi" w:cstheme="majorBidi"/>
          <w:bCs/>
          <w:i/>
          <w:color w:val="44546A" w:themeColor="text2"/>
          <w:sz w:val="18"/>
          <w:szCs w:val="18"/>
        </w:rPr>
        <w:t>)</w:t>
      </w:r>
      <w:r w:rsidR="00014874">
        <w:rPr>
          <w:rFonts w:asciiTheme="majorHAnsi" w:eastAsiaTheme="majorEastAsia" w:hAnsiTheme="majorHAnsi" w:cstheme="majorBidi"/>
          <w:bCs/>
          <w:i/>
          <w:color w:val="44546A" w:themeColor="text2"/>
          <w:sz w:val="18"/>
          <w:szCs w:val="18"/>
        </w:rPr>
        <w:t xml:space="preserve"> and broader ERA processes</w:t>
      </w:r>
      <w:r w:rsidR="009F5FB3">
        <w:rPr>
          <w:rFonts w:asciiTheme="majorHAnsi" w:eastAsiaTheme="majorEastAsia" w:hAnsiTheme="majorHAnsi" w:cstheme="majorBidi"/>
          <w:bCs/>
          <w:i/>
          <w:color w:val="44546A" w:themeColor="text2"/>
          <w:sz w:val="18"/>
          <w:szCs w:val="18"/>
        </w:rPr>
        <w:t>.</w:t>
      </w:r>
    </w:p>
    <w:p w14:paraId="1273D862" w14:textId="77777777" w:rsidR="00956E96" w:rsidRDefault="00956E96" w:rsidP="00956E96">
      <w:pPr>
        <w:pStyle w:val="ListParagraph"/>
        <w:ind w:left="360"/>
        <w:rPr>
          <w:rFonts w:asciiTheme="majorHAnsi" w:eastAsiaTheme="majorEastAsia" w:hAnsiTheme="majorHAnsi" w:cstheme="majorBidi"/>
          <w:b/>
          <w:bCs/>
          <w:i/>
          <w:color w:val="44546A" w:themeColor="text2"/>
          <w:sz w:val="19"/>
          <w:szCs w:val="19"/>
        </w:rPr>
      </w:pPr>
    </w:p>
    <w:p w14:paraId="1B1686AE" w14:textId="21B3D723" w:rsidR="00C92550" w:rsidRDefault="005F2C86" w:rsidP="001839E3">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Development of the species list and productivity attributes</w:t>
      </w:r>
    </w:p>
    <w:p w14:paraId="600D3BCC" w14:textId="6D4CE100" w:rsidR="00716509" w:rsidRDefault="005F2C86" w:rsidP="00056167">
      <w:pPr>
        <w:pStyle w:val="ListParagraph"/>
        <w:ind w:left="360"/>
        <w:rPr>
          <w:rFonts w:asciiTheme="majorHAnsi" w:eastAsiaTheme="majorEastAsia" w:hAnsiTheme="majorHAnsi" w:cstheme="majorBidi"/>
          <w:bCs/>
          <w:i/>
          <w:color w:val="44546A" w:themeColor="text2"/>
          <w:sz w:val="19"/>
          <w:szCs w:val="19"/>
        </w:rPr>
      </w:pPr>
      <w:r>
        <w:rPr>
          <w:rFonts w:asciiTheme="majorHAnsi" w:eastAsiaTheme="majorEastAsia" w:hAnsiTheme="majorHAnsi" w:cstheme="majorBidi"/>
          <w:bCs/>
          <w:i/>
          <w:color w:val="44546A" w:themeColor="text2"/>
          <w:sz w:val="19"/>
          <w:szCs w:val="19"/>
        </w:rPr>
        <w:t>James Cook University will provide an overview of how the list of deepwater shark species that could interact with fisheries in the southern Indian Ocean was developed. JCU will then detail the process for the compilation of productivity attributes and the assumptions used.</w:t>
      </w:r>
    </w:p>
    <w:p w14:paraId="34C5A7FF" w14:textId="77777777" w:rsidR="005F2C86" w:rsidRPr="001839E3" w:rsidRDefault="005F2C86" w:rsidP="00056167">
      <w:pPr>
        <w:pStyle w:val="ListParagraph"/>
        <w:ind w:left="360"/>
        <w:rPr>
          <w:rFonts w:asciiTheme="majorHAnsi" w:eastAsiaTheme="majorEastAsia" w:hAnsiTheme="majorHAnsi" w:cstheme="majorBidi"/>
          <w:bCs/>
          <w:i/>
          <w:color w:val="44546A" w:themeColor="text2"/>
          <w:sz w:val="19"/>
          <w:szCs w:val="19"/>
        </w:rPr>
      </w:pPr>
    </w:p>
    <w:p w14:paraId="3B6D6EAD" w14:textId="169EBE84" w:rsidR="00C92550" w:rsidRDefault="005F2C86" w:rsidP="001839E3">
      <w:pPr>
        <w:pStyle w:val="ListParagraph"/>
        <w:numPr>
          <w:ilvl w:val="0"/>
          <w:numId w:val="4"/>
        </w:numPr>
        <w:spacing w:after="0"/>
        <w:ind w:left="357" w:hanging="357"/>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Susceptibility attribute assumptions</w:t>
      </w:r>
    </w:p>
    <w:p w14:paraId="06C0CACF" w14:textId="3FC8782F" w:rsidR="00813B19" w:rsidRDefault="005F2C86" w:rsidP="001839E3">
      <w:pPr>
        <w:pStyle w:val="ListParagraph"/>
        <w:ind w:left="360"/>
        <w:rPr>
          <w:rFonts w:asciiTheme="majorHAnsi" w:eastAsiaTheme="majorEastAsia" w:hAnsiTheme="majorHAnsi" w:cstheme="majorBidi"/>
          <w:bCs/>
          <w:i/>
          <w:color w:val="44546A" w:themeColor="text2"/>
          <w:sz w:val="19"/>
          <w:szCs w:val="19"/>
        </w:rPr>
      </w:pPr>
      <w:r w:rsidRPr="005F2C86">
        <w:rPr>
          <w:rFonts w:asciiTheme="majorHAnsi" w:eastAsiaTheme="majorEastAsia" w:hAnsiTheme="majorHAnsi" w:cstheme="majorBidi"/>
          <w:bCs/>
          <w:i/>
          <w:color w:val="44546A" w:themeColor="text2"/>
          <w:sz w:val="19"/>
          <w:szCs w:val="19"/>
        </w:rPr>
        <w:t>ABARES will detail the susceptibility attribute assumptions</w:t>
      </w:r>
      <w:r>
        <w:rPr>
          <w:rFonts w:asciiTheme="majorHAnsi" w:eastAsiaTheme="majorEastAsia" w:hAnsiTheme="majorHAnsi" w:cstheme="majorBidi"/>
          <w:bCs/>
          <w:i/>
          <w:color w:val="44546A" w:themeColor="text2"/>
          <w:sz w:val="19"/>
          <w:szCs w:val="19"/>
        </w:rPr>
        <w:t xml:space="preserve"> used for the preliminary assessment. </w:t>
      </w:r>
    </w:p>
    <w:p w14:paraId="6FCB02A3" w14:textId="77777777" w:rsidR="00E82D13" w:rsidRPr="005F2C86" w:rsidRDefault="00E82D13" w:rsidP="001839E3">
      <w:pPr>
        <w:pStyle w:val="ListParagraph"/>
        <w:ind w:left="360"/>
        <w:rPr>
          <w:rFonts w:asciiTheme="majorHAnsi" w:eastAsiaTheme="majorEastAsia" w:hAnsiTheme="majorHAnsi" w:cstheme="majorBidi"/>
          <w:bCs/>
          <w:i/>
          <w:color w:val="44546A" w:themeColor="text2"/>
          <w:sz w:val="19"/>
          <w:szCs w:val="19"/>
        </w:rPr>
      </w:pPr>
    </w:p>
    <w:p w14:paraId="796427D5" w14:textId="27303C8C" w:rsidR="00C92550" w:rsidRDefault="00E82D13" w:rsidP="00E82D13">
      <w:pPr>
        <w:pStyle w:val="ListParagraph"/>
        <w:keepNext/>
        <w:numPr>
          <w:ilvl w:val="0"/>
          <w:numId w:val="4"/>
        </w:numPr>
        <w:ind w:left="357" w:hanging="357"/>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lastRenderedPageBreak/>
        <w:t>PSA outputs</w:t>
      </w:r>
    </w:p>
    <w:p w14:paraId="48CE3584" w14:textId="578811D0" w:rsidR="000D2CC5" w:rsidRPr="000D2CC5" w:rsidRDefault="00E82D13" w:rsidP="000D2CC5">
      <w:pPr>
        <w:pStyle w:val="ListParagraph"/>
        <w:ind w:left="360"/>
        <w:rPr>
          <w:rFonts w:asciiTheme="majorHAnsi" w:eastAsiaTheme="majorEastAsia" w:hAnsiTheme="majorHAnsi" w:cstheme="majorBidi"/>
          <w:bCs/>
          <w:i/>
          <w:color w:val="44546A" w:themeColor="text2"/>
          <w:sz w:val="19"/>
          <w:szCs w:val="19"/>
        </w:rPr>
      </w:pPr>
      <w:r>
        <w:rPr>
          <w:rFonts w:asciiTheme="majorHAnsi" w:eastAsiaTheme="majorEastAsia" w:hAnsiTheme="majorHAnsi" w:cstheme="majorBidi"/>
          <w:bCs/>
          <w:i/>
          <w:color w:val="44546A" w:themeColor="text2"/>
          <w:sz w:val="19"/>
          <w:szCs w:val="19"/>
        </w:rPr>
        <w:t>ABARES will provide a brief overview of the outputs from the level 2 Productivity Susceptibility Analysis</w:t>
      </w:r>
    </w:p>
    <w:p w14:paraId="40C4B696" w14:textId="77777777" w:rsidR="004B1A25" w:rsidRDefault="004B1A25" w:rsidP="001839E3">
      <w:pPr>
        <w:pStyle w:val="ListParagraph"/>
        <w:ind w:left="360"/>
        <w:rPr>
          <w:rFonts w:asciiTheme="majorHAnsi" w:eastAsiaTheme="majorEastAsia" w:hAnsiTheme="majorHAnsi" w:cstheme="majorBidi"/>
          <w:b/>
          <w:bCs/>
          <w:color w:val="44546A" w:themeColor="text2"/>
          <w:szCs w:val="26"/>
        </w:rPr>
      </w:pPr>
    </w:p>
    <w:p w14:paraId="3A045151" w14:textId="693FF1A4" w:rsidR="009F5FB3" w:rsidRDefault="009F5FB3" w:rsidP="00C92550">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 xml:space="preserve">Review of spatial data holdings and sources </w:t>
      </w:r>
    </w:p>
    <w:p w14:paraId="55260E59" w14:textId="63758EBC" w:rsidR="009F5FB3" w:rsidRPr="009F5FB3" w:rsidRDefault="009F5FB3" w:rsidP="009F5FB3">
      <w:pPr>
        <w:ind w:left="360"/>
        <w:rPr>
          <w:rFonts w:asciiTheme="majorHAnsi" w:eastAsiaTheme="majorEastAsia" w:hAnsiTheme="majorHAnsi" w:cstheme="majorBidi"/>
          <w:bCs/>
          <w:i/>
          <w:color w:val="44546A" w:themeColor="text2"/>
          <w:sz w:val="19"/>
          <w:szCs w:val="19"/>
        </w:rPr>
      </w:pPr>
      <w:r>
        <w:rPr>
          <w:rFonts w:asciiTheme="majorHAnsi" w:eastAsiaTheme="majorEastAsia" w:hAnsiTheme="majorHAnsi" w:cstheme="majorBidi"/>
          <w:bCs/>
          <w:i/>
          <w:color w:val="44546A" w:themeColor="text2"/>
          <w:sz w:val="19"/>
          <w:szCs w:val="19"/>
        </w:rPr>
        <w:t>ABARES will provide a summary of spatial data (including species distribution data and fishing effort data) collected and received for use in the level 3 SAFE assessment</w:t>
      </w:r>
    </w:p>
    <w:p w14:paraId="3EC55D7B" w14:textId="05517176" w:rsidR="00C92550" w:rsidRPr="007A43DA" w:rsidRDefault="00E82D13" w:rsidP="00C92550">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bSAFE/eSAFE outputs</w:t>
      </w:r>
    </w:p>
    <w:p w14:paraId="664544D2" w14:textId="060A0C93" w:rsidR="00EB2242" w:rsidRDefault="00E82D13" w:rsidP="00C92550">
      <w:pPr>
        <w:pStyle w:val="ListParagraph"/>
        <w:ind w:left="360"/>
        <w:rPr>
          <w:rFonts w:asciiTheme="majorHAnsi" w:eastAsiaTheme="majorEastAsia" w:hAnsiTheme="majorHAnsi" w:cstheme="majorBidi"/>
          <w:bCs/>
          <w:i/>
          <w:color w:val="44546A" w:themeColor="text2"/>
          <w:sz w:val="19"/>
          <w:szCs w:val="19"/>
        </w:rPr>
      </w:pPr>
      <w:r>
        <w:rPr>
          <w:rFonts w:asciiTheme="majorHAnsi" w:eastAsiaTheme="majorEastAsia" w:hAnsiTheme="majorHAnsi" w:cstheme="majorBidi"/>
          <w:bCs/>
          <w:i/>
          <w:color w:val="44546A" w:themeColor="text2"/>
          <w:sz w:val="19"/>
          <w:szCs w:val="19"/>
        </w:rPr>
        <w:t>CSIRO will provide an overview of the preliminary bSAFE/eSAFE outputs</w:t>
      </w:r>
    </w:p>
    <w:p w14:paraId="34A00D07" w14:textId="2FA41225" w:rsidR="00C92550" w:rsidRPr="001839E3" w:rsidRDefault="00C92550" w:rsidP="00C92550">
      <w:pPr>
        <w:pStyle w:val="ListParagraph"/>
        <w:ind w:left="360"/>
        <w:rPr>
          <w:rFonts w:asciiTheme="majorHAnsi" w:eastAsiaTheme="majorEastAsia" w:hAnsiTheme="majorHAnsi" w:cstheme="majorBidi"/>
          <w:bCs/>
          <w:color w:val="44546A" w:themeColor="text2"/>
          <w:szCs w:val="26"/>
        </w:rPr>
      </w:pPr>
    </w:p>
    <w:p w14:paraId="7B209B1C" w14:textId="3CBEE11C" w:rsidR="00C92550" w:rsidRPr="007A43DA" w:rsidRDefault="00E82D13" w:rsidP="00C92550">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Systematic review of species’ risk scores and identification of expert overrides</w:t>
      </w:r>
    </w:p>
    <w:p w14:paraId="330A38BE" w14:textId="381D4023" w:rsidR="00FA1851" w:rsidRPr="00E82D13" w:rsidRDefault="00E82D13" w:rsidP="00E82D13">
      <w:pPr>
        <w:ind w:left="360"/>
        <w:rPr>
          <w:rFonts w:asciiTheme="majorHAnsi" w:eastAsiaTheme="majorEastAsia" w:hAnsiTheme="majorHAnsi" w:cstheme="majorBidi"/>
          <w:bCs/>
          <w:i/>
          <w:color w:val="44546A" w:themeColor="text2"/>
          <w:sz w:val="19"/>
          <w:szCs w:val="19"/>
        </w:rPr>
      </w:pPr>
      <w:r w:rsidRPr="00E82D13">
        <w:rPr>
          <w:rFonts w:asciiTheme="majorHAnsi" w:eastAsiaTheme="majorEastAsia" w:hAnsiTheme="majorHAnsi" w:cstheme="majorBidi"/>
          <w:bCs/>
          <w:i/>
          <w:color w:val="44546A" w:themeColor="text2"/>
          <w:sz w:val="19"/>
          <w:szCs w:val="19"/>
        </w:rPr>
        <w:t xml:space="preserve">The </w:t>
      </w:r>
      <w:r>
        <w:rPr>
          <w:rFonts w:asciiTheme="majorHAnsi" w:eastAsiaTheme="majorEastAsia" w:hAnsiTheme="majorHAnsi" w:cstheme="majorBidi"/>
          <w:bCs/>
          <w:i/>
          <w:color w:val="44546A" w:themeColor="text2"/>
          <w:sz w:val="19"/>
          <w:szCs w:val="19"/>
        </w:rPr>
        <w:t>ERAWG will systematically review species’ risk scores and identify possible false positives (or false negatives) and identify any potential expert overrides.</w:t>
      </w:r>
    </w:p>
    <w:p w14:paraId="0FDF2784" w14:textId="67F6DEB8" w:rsidR="00450659" w:rsidRDefault="00E82D13" w:rsidP="00450659">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Next steps and advice to the Scientific Committee</w:t>
      </w:r>
    </w:p>
    <w:p w14:paraId="629A6E95" w14:textId="6F8723E1" w:rsidR="00FA1851" w:rsidRPr="00C80096" w:rsidRDefault="00E82D13" w:rsidP="00FA1851">
      <w:pPr>
        <w:pStyle w:val="ListParagraph"/>
        <w:ind w:left="360"/>
        <w:rPr>
          <w:rFonts w:asciiTheme="majorHAnsi" w:eastAsiaTheme="majorEastAsia" w:hAnsiTheme="majorHAnsi" w:cstheme="majorBidi"/>
          <w:b/>
          <w:bCs/>
          <w:i/>
          <w:color w:val="44546A" w:themeColor="text2"/>
          <w:sz w:val="19"/>
          <w:szCs w:val="19"/>
        </w:rPr>
      </w:pPr>
      <w:r>
        <w:rPr>
          <w:rFonts w:asciiTheme="majorHAnsi" w:eastAsiaTheme="majorEastAsia" w:hAnsiTheme="majorHAnsi" w:cstheme="majorBidi"/>
          <w:bCs/>
          <w:i/>
          <w:color w:val="44546A" w:themeColor="text2"/>
          <w:sz w:val="19"/>
          <w:szCs w:val="19"/>
        </w:rPr>
        <w:t xml:space="preserve">The ERAWG will identify next steps and discuss potential advice to the Scientific Committee </w:t>
      </w:r>
      <w:r w:rsidR="009B6482">
        <w:rPr>
          <w:rFonts w:asciiTheme="majorHAnsi" w:eastAsiaTheme="majorEastAsia" w:hAnsiTheme="majorHAnsi" w:cstheme="majorBidi"/>
          <w:bCs/>
          <w:i/>
          <w:color w:val="44546A" w:themeColor="text2"/>
          <w:sz w:val="19"/>
          <w:szCs w:val="19"/>
        </w:rPr>
        <w:t>(see Attachment 1 for guidance)</w:t>
      </w:r>
    </w:p>
    <w:p w14:paraId="77D189D9" w14:textId="77777777" w:rsidR="007A058B" w:rsidRDefault="007A058B" w:rsidP="00450659">
      <w:pPr>
        <w:pStyle w:val="ListParagraph"/>
        <w:ind w:left="360"/>
        <w:rPr>
          <w:rFonts w:asciiTheme="majorHAnsi" w:eastAsiaTheme="majorEastAsia" w:hAnsiTheme="majorHAnsi" w:cstheme="majorBidi"/>
          <w:b/>
          <w:bCs/>
          <w:color w:val="44546A" w:themeColor="text2"/>
          <w:szCs w:val="26"/>
        </w:rPr>
      </w:pPr>
    </w:p>
    <w:p w14:paraId="28394BAE" w14:textId="70ECD63B" w:rsidR="00716509" w:rsidRDefault="00E82D13" w:rsidP="008D23BF">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Meeting summary and adoption of meeting report</w:t>
      </w:r>
    </w:p>
    <w:p w14:paraId="70FFD2A2" w14:textId="77777777" w:rsidR="00716509" w:rsidRPr="0098071B" w:rsidRDefault="00716509" w:rsidP="00716509">
      <w:pPr>
        <w:pStyle w:val="ListParagraph"/>
        <w:ind w:left="360"/>
      </w:pPr>
    </w:p>
    <w:p w14:paraId="67F4B4C7" w14:textId="69B415B0" w:rsidR="00E82D13" w:rsidRDefault="00E82D13" w:rsidP="00716509">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Other business</w:t>
      </w:r>
    </w:p>
    <w:p w14:paraId="31C8160D" w14:textId="77777777" w:rsidR="00E82D13" w:rsidRPr="00E82D13" w:rsidRDefault="00E82D13" w:rsidP="00E82D13">
      <w:pPr>
        <w:pStyle w:val="ListParagraph"/>
        <w:rPr>
          <w:rFonts w:asciiTheme="majorHAnsi" w:eastAsiaTheme="majorEastAsia" w:hAnsiTheme="majorHAnsi" w:cstheme="majorBidi"/>
          <w:b/>
          <w:bCs/>
          <w:color w:val="44546A" w:themeColor="text2"/>
          <w:szCs w:val="26"/>
        </w:rPr>
      </w:pPr>
    </w:p>
    <w:p w14:paraId="32C95648" w14:textId="51A2A730" w:rsidR="00716509" w:rsidRDefault="00E82D13" w:rsidP="00716509">
      <w:pPr>
        <w:pStyle w:val="ListParagraph"/>
        <w:numPr>
          <w:ilvl w:val="0"/>
          <w:numId w:val="4"/>
        </w:numPr>
        <w:rPr>
          <w:rFonts w:asciiTheme="majorHAnsi" w:eastAsiaTheme="majorEastAsia" w:hAnsiTheme="majorHAnsi" w:cstheme="majorBidi"/>
          <w:b/>
          <w:bCs/>
          <w:color w:val="44546A" w:themeColor="text2"/>
          <w:szCs w:val="26"/>
        </w:rPr>
      </w:pPr>
      <w:r>
        <w:rPr>
          <w:rFonts w:asciiTheme="majorHAnsi" w:eastAsiaTheme="majorEastAsia" w:hAnsiTheme="majorHAnsi" w:cstheme="majorBidi"/>
          <w:b/>
          <w:bCs/>
          <w:color w:val="44546A" w:themeColor="text2"/>
          <w:szCs w:val="26"/>
        </w:rPr>
        <w:t>Meeting close</w:t>
      </w:r>
      <w:bookmarkStart w:id="0" w:name="_GoBack"/>
      <w:bookmarkEnd w:id="0"/>
    </w:p>
    <w:p w14:paraId="7BE3AA88" w14:textId="08824B9C" w:rsidR="008C4032" w:rsidRDefault="008C4032" w:rsidP="00643883">
      <w:pPr>
        <w:pageBreakBefore/>
        <w:autoSpaceDE w:val="0"/>
        <w:autoSpaceDN w:val="0"/>
        <w:adjustRightInd w:val="0"/>
        <w:spacing w:after="0" w:line="240" w:lineRule="auto"/>
        <w:rPr>
          <w:rFonts w:ascii="BCDEE E+ Calibri 19" w:hAnsi="BCDEE E+ Calibri 19" w:cs="BCDEE E+ Calibri 19"/>
          <w:color w:val="000000"/>
          <w:sz w:val="28"/>
        </w:rPr>
      </w:pPr>
      <w:r>
        <w:rPr>
          <w:rFonts w:ascii="BCDEE E+ Calibri 19" w:hAnsi="BCDEE E+ Calibri 19" w:cs="BCDEE E+ Calibri 19"/>
          <w:color w:val="000000"/>
          <w:sz w:val="28"/>
        </w:rPr>
        <w:lastRenderedPageBreak/>
        <w:t>Attachment 1</w:t>
      </w:r>
    </w:p>
    <w:p w14:paraId="099B55B3" w14:textId="77777777" w:rsidR="008C4032" w:rsidRDefault="008C4032" w:rsidP="008C4032">
      <w:pPr>
        <w:autoSpaceDE w:val="0"/>
        <w:autoSpaceDN w:val="0"/>
        <w:adjustRightInd w:val="0"/>
        <w:spacing w:after="0" w:line="240" w:lineRule="auto"/>
        <w:rPr>
          <w:rFonts w:ascii="BCDEE E+ Calibri 19" w:hAnsi="BCDEE E+ Calibri 19" w:cs="BCDEE E+ Calibri 19"/>
          <w:color w:val="000000"/>
          <w:sz w:val="28"/>
        </w:rPr>
      </w:pPr>
    </w:p>
    <w:p w14:paraId="770EACB8" w14:textId="68121FC9" w:rsidR="00643883" w:rsidRDefault="00697CE3" w:rsidP="008C4032">
      <w:pPr>
        <w:autoSpaceDE w:val="0"/>
        <w:autoSpaceDN w:val="0"/>
        <w:adjustRightInd w:val="0"/>
        <w:spacing w:after="0" w:line="240" w:lineRule="auto"/>
        <w:rPr>
          <w:rFonts w:ascii="BCDEE E+ Calibri 19" w:hAnsi="BCDEE E+ Calibri 19" w:cs="BCDEE E+ Calibri 19"/>
          <w:color w:val="000000"/>
          <w:sz w:val="28"/>
        </w:rPr>
      </w:pPr>
      <w:r w:rsidRPr="00697CE3">
        <w:rPr>
          <w:rFonts w:ascii="BCDEE E+ Calibri 19" w:hAnsi="BCDEE E+ Calibri 19" w:cs="BCDEE E+ Calibri 19"/>
          <w:color w:val="000000"/>
          <w:sz w:val="28"/>
        </w:rPr>
        <w:t xml:space="preserve">SIOFA Ecological Risk Assessment Working Group </w:t>
      </w:r>
    </w:p>
    <w:p w14:paraId="26F4AB69" w14:textId="77777777" w:rsidR="00643883" w:rsidRDefault="00643883" w:rsidP="00697CE3">
      <w:pPr>
        <w:autoSpaceDE w:val="0"/>
        <w:autoSpaceDN w:val="0"/>
        <w:adjustRightInd w:val="0"/>
        <w:spacing w:after="0" w:line="240" w:lineRule="auto"/>
        <w:rPr>
          <w:rFonts w:ascii="BCDEE E+ Calibri 19" w:hAnsi="BCDEE E+ Calibri 19" w:cs="BCDEE E+ Calibri 19"/>
          <w:color w:val="000000"/>
        </w:rPr>
      </w:pPr>
    </w:p>
    <w:p w14:paraId="3488802E" w14:textId="77777777" w:rsidR="00697CE3" w:rsidRPr="00697CE3" w:rsidRDefault="00697CE3" w:rsidP="00697CE3">
      <w:pPr>
        <w:autoSpaceDE w:val="0"/>
        <w:autoSpaceDN w:val="0"/>
        <w:adjustRightInd w:val="0"/>
        <w:spacing w:after="0" w:line="240" w:lineRule="auto"/>
        <w:rPr>
          <w:rFonts w:ascii="BCDEE E+ Calibri 19" w:hAnsi="BCDEE E+ Calibri 19" w:cs="BCDEE E+ Calibri 19"/>
          <w:b/>
          <w:color w:val="000000"/>
        </w:rPr>
      </w:pPr>
      <w:r w:rsidRPr="00697CE3">
        <w:rPr>
          <w:rFonts w:ascii="BCDEE E+ Calibri 19" w:hAnsi="BCDEE E+ Calibri 19" w:cs="BCDEE E+ Calibri 19"/>
          <w:b/>
          <w:color w:val="000000"/>
        </w:rPr>
        <w:t xml:space="preserve">Objectives and background </w:t>
      </w:r>
    </w:p>
    <w:p w14:paraId="1360AC25" w14:textId="77777777" w:rsidR="00643883" w:rsidRDefault="00643883" w:rsidP="00697CE3">
      <w:pPr>
        <w:autoSpaceDE w:val="0"/>
        <w:autoSpaceDN w:val="0"/>
        <w:adjustRightInd w:val="0"/>
        <w:spacing w:after="0" w:line="240" w:lineRule="auto"/>
        <w:rPr>
          <w:rFonts w:ascii="BCDEE E+ Calibri 19" w:hAnsi="BCDEE E+ Calibri 19" w:cs="BCDEE E+ Calibri 19"/>
          <w:color w:val="000000"/>
        </w:rPr>
      </w:pPr>
    </w:p>
    <w:p w14:paraId="73AA2692" w14:textId="77777777" w:rsidR="00697CE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Paragraph 6a of CMM 2016/01 actions the SIOFA Scientific Committee to provide advice and recommendations to the Meeting of the Parties on the status of stocks of principal deep-sea fishery resources targeted, and, to the extent possible, taken as bycatch and caught incidentally in these deep-sea fisheries, including straddling fishery resources by 2019. </w:t>
      </w:r>
    </w:p>
    <w:p w14:paraId="7B2F78DF" w14:textId="77777777" w:rsidR="00643883" w:rsidRPr="00697CE3" w:rsidRDefault="00643883" w:rsidP="00697CE3">
      <w:pPr>
        <w:autoSpaceDE w:val="0"/>
        <w:autoSpaceDN w:val="0"/>
        <w:adjustRightInd w:val="0"/>
        <w:spacing w:after="0" w:line="240" w:lineRule="auto"/>
        <w:rPr>
          <w:rFonts w:ascii="BCDEE E+ Calibri 19" w:hAnsi="BCDEE E+ Calibri 19" w:cs="BCDEE E+ Calibri 19"/>
          <w:color w:val="000000"/>
        </w:rPr>
      </w:pPr>
    </w:p>
    <w:p w14:paraId="6196A247" w14:textId="77777777" w:rsidR="00697CE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The SIOFA Scientific Committee has proposed that ecological risk assessment is a practical approach for addressing the potential and current effects of fishing on target stocks and also those caught incidentally in </w:t>
      </w:r>
      <w:r w:rsidRPr="00697CE3">
        <w:rPr>
          <w:rFonts w:ascii="Calibri" w:hAnsi="Calibri" w:cs="Calibri"/>
          <w:color w:val="000000"/>
        </w:rPr>
        <w:t xml:space="preserve">SIOFA’s </w:t>
      </w:r>
      <w:r w:rsidRPr="00697CE3">
        <w:rPr>
          <w:rFonts w:ascii="BCDEE E+ Calibri 19" w:hAnsi="BCDEE E+ Calibri 19" w:cs="BCDEE E+ Calibri 19"/>
          <w:color w:val="000000"/>
        </w:rPr>
        <w:t xml:space="preserve">deep-sea fisheries. The SC recommended that a working group be established under the SIOFA Scientific Committee to progress work related to ecological risk assessments required to address this action. </w:t>
      </w:r>
    </w:p>
    <w:p w14:paraId="673D0203" w14:textId="77777777" w:rsidR="00643883" w:rsidRPr="00697CE3" w:rsidRDefault="00643883" w:rsidP="00697CE3">
      <w:pPr>
        <w:autoSpaceDE w:val="0"/>
        <w:autoSpaceDN w:val="0"/>
        <w:adjustRightInd w:val="0"/>
        <w:spacing w:after="0" w:line="240" w:lineRule="auto"/>
        <w:rPr>
          <w:rFonts w:ascii="BCDEE E+ Calibri 19" w:hAnsi="BCDEE E+ Calibri 19" w:cs="BCDEE E+ Calibri 19"/>
          <w:color w:val="000000"/>
        </w:rPr>
      </w:pPr>
    </w:p>
    <w:p w14:paraId="6ADC65B7" w14:textId="77777777" w:rsidR="00697CE3" w:rsidRPr="00697CE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Initially, the working group will focus on an ERA for deepwater sharks in the SIOFA Agreement Area. This ERA could be used as a model for future ERAs, or for example, as a basis for the expansion of the deepwater sharks ERA to all relevant species across the SIOFA area (where data are available). </w:t>
      </w:r>
    </w:p>
    <w:p w14:paraId="24371B36" w14:textId="77777777" w:rsidR="00697CE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Such a model will be useful in promoting engagement of scientists in the ERA process, which is fundamental to success. </w:t>
      </w:r>
    </w:p>
    <w:p w14:paraId="2A8328CC" w14:textId="77777777" w:rsidR="00643883" w:rsidRPr="00697CE3" w:rsidRDefault="00643883" w:rsidP="00697CE3">
      <w:pPr>
        <w:autoSpaceDE w:val="0"/>
        <w:autoSpaceDN w:val="0"/>
        <w:adjustRightInd w:val="0"/>
        <w:spacing w:after="0" w:line="240" w:lineRule="auto"/>
        <w:rPr>
          <w:rFonts w:ascii="BCDEE E+ Calibri 19" w:hAnsi="BCDEE E+ Calibri 19" w:cs="BCDEE E+ Calibri 19"/>
          <w:color w:val="000000"/>
        </w:rPr>
      </w:pPr>
    </w:p>
    <w:p w14:paraId="711BB8A9" w14:textId="024C94E8" w:rsidR="00697CE3" w:rsidRPr="00697CE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Calibri" w:hAnsi="Calibri" w:cs="Calibri"/>
          <w:color w:val="000000"/>
        </w:rPr>
        <w:t xml:space="preserve">Under these Terms of Reference, participants will commit to involvement in the process. All ‘rules’ of </w:t>
      </w:r>
      <w:r w:rsidRPr="00697CE3">
        <w:rPr>
          <w:rFonts w:ascii="BCDEE E+ Calibri 19" w:hAnsi="BCDEE E+ Calibri 19" w:cs="BCDEE E+ Calibri 19"/>
          <w:color w:val="000000"/>
        </w:rPr>
        <w:t xml:space="preserve">the ERA WG will be consistent with the SC Terms of Reference, and so </w:t>
      </w:r>
      <w:r w:rsidR="00643883">
        <w:rPr>
          <w:rFonts w:ascii="BCDEE E+ Calibri 19" w:hAnsi="BCDEE E+ Calibri 19" w:cs="BCDEE E+ Calibri 19"/>
          <w:color w:val="000000"/>
        </w:rPr>
        <w:t xml:space="preserve">are not included here. The ERA </w:t>
      </w:r>
      <w:r w:rsidRPr="00697CE3">
        <w:rPr>
          <w:rFonts w:ascii="BCDEE E+ Calibri 19" w:hAnsi="BCDEE E+ Calibri 19" w:cs="BCDEE E+ Calibri 19"/>
          <w:color w:val="000000"/>
        </w:rPr>
        <w:t xml:space="preserve">WG ToR will be focused on the practical aspects of progressing work related to ERAs in SIOFA. </w:t>
      </w:r>
    </w:p>
    <w:p w14:paraId="04C0EFAE" w14:textId="77777777" w:rsidR="00643883" w:rsidRDefault="00643883" w:rsidP="00697CE3">
      <w:pPr>
        <w:autoSpaceDE w:val="0"/>
        <w:autoSpaceDN w:val="0"/>
        <w:adjustRightInd w:val="0"/>
        <w:spacing w:after="0" w:line="240" w:lineRule="auto"/>
        <w:rPr>
          <w:rFonts w:ascii="BCDEE E+ Calibri 19" w:hAnsi="BCDEE E+ Calibri 19" w:cs="BCDEE E+ Calibri 19"/>
          <w:color w:val="000000"/>
        </w:rPr>
      </w:pPr>
    </w:p>
    <w:p w14:paraId="4F8827A0" w14:textId="77777777" w:rsidR="00697CE3" w:rsidRDefault="00697CE3" w:rsidP="00697CE3">
      <w:pPr>
        <w:autoSpaceDE w:val="0"/>
        <w:autoSpaceDN w:val="0"/>
        <w:adjustRightInd w:val="0"/>
        <w:spacing w:after="0" w:line="240" w:lineRule="auto"/>
        <w:rPr>
          <w:rFonts w:ascii="BCDEE E+ Calibri 19" w:hAnsi="BCDEE E+ Calibri 19" w:cs="BCDEE E+ Calibri 19"/>
          <w:b/>
          <w:color w:val="000000"/>
        </w:rPr>
      </w:pPr>
      <w:r w:rsidRPr="00697CE3">
        <w:rPr>
          <w:rFonts w:ascii="BCDEE E+ Calibri 19" w:hAnsi="BCDEE E+ Calibri 19" w:cs="BCDEE E+ Calibri 19"/>
          <w:b/>
          <w:color w:val="000000"/>
        </w:rPr>
        <w:t xml:space="preserve">Terms of Reference </w:t>
      </w:r>
    </w:p>
    <w:p w14:paraId="329E0F55" w14:textId="77777777" w:rsidR="00643883" w:rsidRPr="00697CE3" w:rsidRDefault="00643883" w:rsidP="00697CE3">
      <w:pPr>
        <w:autoSpaceDE w:val="0"/>
        <w:autoSpaceDN w:val="0"/>
        <w:adjustRightInd w:val="0"/>
        <w:spacing w:after="0" w:line="240" w:lineRule="auto"/>
        <w:rPr>
          <w:rFonts w:ascii="BCDEE E+ Calibri 19" w:hAnsi="BCDEE E+ Calibri 19" w:cs="BCDEE E+ Calibri 19"/>
          <w:b/>
          <w:color w:val="000000"/>
        </w:rPr>
      </w:pPr>
    </w:p>
    <w:p w14:paraId="33379BD2" w14:textId="77777777" w:rsidR="00643883" w:rsidRPr="00643883" w:rsidRDefault="00697CE3" w:rsidP="00643883">
      <w:pPr>
        <w:pStyle w:val="ListParagraph"/>
        <w:numPr>
          <w:ilvl w:val="0"/>
          <w:numId w:val="16"/>
        </w:numPr>
        <w:autoSpaceDE w:val="0"/>
        <w:autoSpaceDN w:val="0"/>
        <w:adjustRightInd w:val="0"/>
        <w:spacing w:after="330" w:line="240" w:lineRule="auto"/>
        <w:rPr>
          <w:rFonts w:ascii="BCDEE E+ Calibri 19" w:hAnsi="BCDEE E+ Calibri 19" w:cs="BCDEE E+ Calibri 19"/>
          <w:color w:val="000000"/>
        </w:rPr>
      </w:pPr>
      <w:r w:rsidRPr="00643883">
        <w:rPr>
          <w:rFonts w:ascii="BCDEE E+ Calibri 19" w:hAnsi="BCDEE E+ Calibri 19" w:cs="BCDEE E+ Calibri 19"/>
          <w:color w:val="000000"/>
        </w:rPr>
        <w:t xml:space="preserve">The ERA-IWG will be tasked with developing a research and review plan for implementation of ERAs and related processes for progressing the objectives of the SIOFA SC and Meeting of the Parties. In the </w:t>
      </w:r>
      <w:r w:rsidR="00643883" w:rsidRPr="00643883">
        <w:rPr>
          <w:rFonts w:ascii="BCDEE E+ Calibri 19" w:hAnsi="BCDEE E+ Calibri 19" w:cs="BCDEE E+ Calibri 19"/>
          <w:color w:val="000000"/>
        </w:rPr>
        <w:t xml:space="preserve">short-term, the ERA WG will: </w:t>
      </w:r>
    </w:p>
    <w:p w14:paraId="1259D8AD" w14:textId="45C44BE2" w:rsidR="00643883" w:rsidRPr="00643883" w:rsidRDefault="00697CE3" w:rsidP="00643883">
      <w:pPr>
        <w:pStyle w:val="ListParagraph"/>
        <w:numPr>
          <w:ilvl w:val="0"/>
          <w:numId w:val="17"/>
        </w:numPr>
        <w:autoSpaceDE w:val="0"/>
        <w:autoSpaceDN w:val="0"/>
        <w:adjustRightInd w:val="0"/>
        <w:spacing w:after="330" w:line="240" w:lineRule="auto"/>
        <w:rPr>
          <w:rFonts w:ascii="BCDEE E+ Calibri 19" w:hAnsi="BCDEE E+ Calibri 19" w:cs="BCDEE E+ Calibri 19"/>
          <w:color w:val="000000"/>
        </w:rPr>
      </w:pPr>
      <w:r w:rsidRPr="00643883">
        <w:rPr>
          <w:rFonts w:ascii="BCDEE E+ Calibri 19" w:hAnsi="BCDEE E+ Calibri 19" w:cs="BCDEE E+ Calibri 19"/>
          <w:color w:val="000000"/>
        </w:rPr>
        <w:t xml:space="preserve">Assist with the timely provision of data to support the implementation of the ERAs for deepwater chondrichthyans being undertaken by Australia and Japan. </w:t>
      </w:r>
    </w:p>
    <w:p w14:paraId="16F67F89" w14:textId="7EE65637" w:rsidR="00697CE3" w:rsidRDefault="00697CE3" w:rsidP="00CB13EE">
      <w:pPr>
        <w:pStyle w:val="ListParagraph"/>
        <w:numPr>
          <w:ilvl w:val="0"/>
          <w:numId w:val="17"/>
        </w:numPr>
        <w:autoSpaceDE w:val="0"/>
        <w:autoSpaceDN w:val="0"/>
        <w:adjustRightInd w:val="0"/>
        <w:spacing w:after="0" w:line="240" w:lineRule="auto"/>
        <w:rPr>
          <w:rFonts w:ascii="BCDEE E+ Calibri 19" w:hAnsi="BCDEE E+ Calibri 19" w:cs="BCDEE E+ Calibri 19"/>
          <w:color w:val="000000"/>
        </w:rPr>
      </w:pPr>
      <w:r w:rsidRPr="00643883">
        <w:rPr>
          <w:rFonts w:ascii="BCDEE E+ Calibri 19" w:hAnsi="BCDEE E+ Calibri 19" w:cs="BCDEE E+ Calibri 19"/>
          <w:color w:val="000000"/>
        </w:rPr>
        <w:t xml:space="preserve">Assist with review of methods and outputs used for the deepwater chondrichthyans ERAs and provide advice to the SC on the applicability of the methods to be used more broadly across SIOFA fisheries. </w:t>
      </w:r>
    </w:p>
    <w:p w14:paraId="658667BA" w14:textId="77777777" w:rsidR="00643883" w:rsidRPr="00697CE3" w:rsidRDefault="00643883" w:rsidP="00643883">
      <w:pPr>
        <w:pStyle w:val="ListParagraph"/>
        <w:autoSpaceDE w:val="0"/>
        <w:autoSpaceDN w:val="0"/>
        <w:adjustRightInd w:val="0"/>
        <w:spacing w:after="0" w:line="240" w:lineRule="auto"/>
        <w:rPr>
          <w:rFonts w:ascii="BCDEE E+ Calibri 19" w:hAnsi="BCDEE E+ Calibri 19" w:cs="BCDEE E+ Calibri 19"/>
          <w:color w:val="000000"/>
        </w:rPr>
      </w:pPr>
    </w:p>
    <w:p w14:paraId="70462C33" w14:textId="77777777" w:rsidR="0064388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BCDEE E+ Calibri 19" w:hAnsi="BCDEE E+ Calibri 19" w:cs="BCDEE E+ Calibri 19"/>
          <w:color w:val="000000"/>
        </w:rPr>
        <w:t>In the medium to long-term, the ERA-IWG will:</w:t>
      </w:r>
    </w:p>
    <w:p w14:paraId="09876238" w14:textId="4F1A945E" w:rsidR="00697CE3" w:rsidRPr="00697CE3" w:rsidRDefault="00697CE3" w:rsidP="00697CE3">
      <w:pPr>
        <w:autoSpaceDE w:val="0"/>
        <w:autoSpaceDN w:val="0"/>
        <w:adjustRightInd w:val="0"/>
        <w:spacing w:after="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 </w:t>
      </w:r>
    </w:p>
    <w:p w14:paraId="29CFC1B5" w14:textId="74481DBD" w:rsidR="00697CE3" w:rsidRPr="00697CE3" w:rsidRDefault="00697CE3" w:rsidP="00643883">
      <w:pPr>
        <w:pStyle w:val="ListParagraph"/>
        <w:numPr>
          <w:ilvl w:val="0"/>
          <w:numId w:val="16"/>
        </w:numPr>
        <w:autoSpaceDE w:val="0"/>
        <w:autoSpaceDN w:val="0"/>
        <w:adjustRightInd w:val="0"/>
        <w:spacing w:after="33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To facilitate timely development of ERA processes, participants agree to provide the necessary and available data within two months of a request, noting that appropriate data confidentiality protocols (as per CMM 2016/03 and domestic data and privacy policies) will apply </w:t>
      </w:r>
    </w:p>
    <w:p w14:paraId="2246FB8C" w14:textId="40D0515B" w:rsidR="00697CE3" w:rsidRPr="00697CE3" w:rsidRDefault="00697CE3" w:rsidP="00643883">
      <w:pPr>
        <w:pStyle w:val="ListParagraph"/>
        <w:numPr>
          <w:ilvl w:val="0"/>
          <w:numId w:val="16"/>
        </w:numPr>
        <w:autoSpaceDE w:val="0"/>
        <w:autoSpaceDN w:val="0"/>
        <w:adjustRightInd w:val="0"/>
        <w:spacing w:after="33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The requesting party will need to confer with the data custodian to ensure the appropriate data confidentiality agreements and other relevant processes are followed. </w:t>
      </w:r>
    </w:p>
    <w:p w14:paraId="182CE594" w14:textId="3D20E92C" w:rsidR="00697CE3" w:rsidRDefault="00697CE3" w:rsidP="00643883">
      <w:pPr>
        <w:pStyle w:val="ListParagraph"/>
        <w:numPr>
          <w:ilvl w:val="0"/>
          <w:numId w:val="16"/>
        </w:numPr>
        <w:autoSpaceDE w:val="0"/>
        <w:autoSpaceDN w:val="0"/>
        <w:adjustRightInd w:val="0"/>
        <w:spacing w:after="330" w:line="240" w:lineRule="auto"/>
        <w:rPr>
          <w:rFonts w:ascii="BCDEE E+ Calibri 19" w:hAnsi="BCDEE E+ Calibri 19" w:cs="BCDEE E+ Calibri 19"/>
          <w:color w:val="000000"/>
        </w:rPr>
      </w:pPr>
      <w:r w:rsidRPr="00697CE3">
        <w:rPr>
          <w:rFonts w:ascii="BCDEE E+ Calibri 19" w:hAnsi="BCDEE E+ Calibri 19" w:cs="BCDEE E+ Calibri 19"/>
          <w:color w:val="000000"/>
        </w:rPr>
        <w:t xml:space="preserve">All other rules of the ERA-IWG will be consistent with the SC Terms of Reference. </w:t>
      </w:r>
    </w:p>
    <w:p w14:paraId="7EB8C87A" w14:textId="3A498638" w:rsidR="00643883" w:rsidRPr="00643883" w:rsidRDefault="00643883" w:rsidP="00697CE3">
      <w:pPr>
        <w:autoSpaceDE w:val="0"/>
        <w:autoSpaceDN w:val="0"/>
        <w:adjustRightInd w:val="0"/>
        <w:spacing w:after="0" w:line="240" w:lineRule="auto"/>
        <w:rPr>
          <w:rFonts w:ascii="BCDEE E+ Calibri 19" w:hAnsi="BCDEE E+ Calibri 19" w:cs="BCDEE E+ Calibri 19"/>
          <w:b/>
          <w:color w:val="000000"/>
        </w:rPr>
      </w:pPr>
      <w:r w:rsidRPr="00643883">
        <w:rPr>
          <w:rFonts w:ascii="BCDEE E+ Calibri 19" w:hAnsi="BCDEE E+ Calibri 19" w:cs="BCDEE E+ Calibri 19"/>
          <w:b/>
          <w:color w:val="000000"/>
        </w:rPr>
        <w:t>Current workplan</w:t>
      </w:r>
    </w:p>
    <w:p w14:paraId="74BEFB41" w14:textId="77777777" w:rsidR="00643883" w:rsidRDefault="00643883" w:rsidP="00697CE3">
      <w:pPr>
        <w:autoSpaceDE w:val="0"/>
        <w:autoSpaceDN w:val="0"/>
        <w:adjustRightInd w:val="0"/>
        <w:spacing w:after="0" w:line="240" w:lineRule="auto"/>
        <w:rPr>
          <w:rFonts w:ascii="BCDEE E+ Calibri 19" w:hAnsi="BCDEE E+ Calibri 19" w:cs="BCDEE E+ Calibri 19"/>
          <w:color w:val="000000"/>
        </w:rPr>
      </w:pPr>
    </w:p>
    <w:p w14:paraId="6138253B" w14:textId="2C22B073" w:rsidR="00643883" w:rsidRPr="00643883" w:rsidRDefault="00643883" w:rsidP="00643883">
      <w:pPr>
        <w:autoSpaceDE w:val="0"/>
        <w:autoSpaceDN w:val="0"/>
        <w:adjustRightInd w:val="0"/>
        <w:spacing w:after="0" w:line="240" w:lineRule="auto"/>
        <w:rPr>
          <w:rFonts w:ascii="BCDEE E+ Calibri 19" w:hAnsi="BCDEE E+ Calibri 19" w:cs="BCDEE E+ Calibri 19"/>
          <w:color w:val="000000"/>
        </w:rPr>
      </w:pPr>
      <w:r w:rsidRPr="00643883">
        <w:rPr>
          <w:rFonts w:ascii="BCDEE E+ Calibri 19" w:hAnsi="BCDEE E+ Calibri 19" w:cs="BCDEE E+ Calibri 19"/>
          <w:color w:val="000000"/>
        </w:rPr>
        <w:t xml:space="preserve">Interim dates and other </w:t>
      </w:r>
      <w:r w:rsidR="00BC359C">
        <w:rPr>
          <w:rFonts w:ascii="BCDEE E+ Calibri 19" w:hAnsi="BCDEE E+ Calibri 19" w:cs="BCDEE E+ Calibri 19"/>
          <w:color w:val="000000"/>
        </w:rPr>
        <w:t>issues for deepwater sharks ERA:</w:t>
      </w:r>
    </w:p>
    <w:p w14:paraId="7B71EBD7" w14:textId="1C5DFEB2" w:rsidR="00643883" w:rsidRPr="00BC359C" w:rsidRDefault="00643883" w:rsidP="00643883">
      <w:pPr>
        <w:pStyle w:val="ListParagraph"/>
        <w:numPr>
          <w:ilvl w:val="0"/>
          <w:numId w:val="18"/>
        </w:numPr>
        <w:autoSpaceDE w:val="0"/>
        <w:autoSpaceDN w:val="0"/>
        <w:adjustRightInd w:val="0"/>
        <w:spacing w:after="0" w:line="240" w:lineRule="auto"/>
        <w:rPr>
          <w:rFonts w:ascii="BCDEE E+ Calibri 19" w:hAnsi="BCDEE E+ Calibri 19" w:cs="BCDEE E+ Calibri 19"/>
          <w:color w:val="000000"/>
        </w:rPr>
      </w:pPr>
      <w:r w:rsidRPr="00BC359C">
        <w:rPr>
          <w:rFonts w:ascii="BCDEE E+ Calibri 19" w:hAnsi="BCDEE E+ Calibri 19" w:cs="BCDEE E+ Calibri 19"/>
          <w:color w:val="000000"/>
        </w:rPr>
        <w:lastRenderedPageBreak/>
        <w:t>Within two months of the close of SIOFA SC2, participants agre</w:t>
      </w:r>
      <w:r w:rsidR="00BC359C">
        <w:rPr>
          <w:rFonts w:ascii="BCDEE E+ Calibri 19" w:hAnsi="BCDEE E+ Calibri 19" w:cs="BCDEE E+ Calibri 19"/>
          <w:color w:val="000000"/>
        </w:rPr>
        <w:t>e to provide the following data:</w:t>
      </w:r>
    </w:p>
    <w:p w14:paraId="5C71A398" w14:textId="5401B85A" w:rsidR="00643883" w:rsidRPr="00BC359C" w:rsidRDefault="00643883" w:rsidP="00BC359C">
      <w:pPr>
        <w:pStyle w:val="ListParagraph"/>
        <w:numPr>
          <w:ilvl w:val="1"/>
          <w:numId w:val="18"/>
        </w:numPr>
        <w:autoSpaceDE w:val="0"/>
        <w:autoSpaceDN w:val="0"/>
        <w:adjustRightInd w:val="0"/>
        <w:spacing w:after="38" w:line="240" w:lineRule="auto"/>
        <w:rPr>
          <w:rFonts w:ascii="BCDKE E+ Courier New PSMT" w:hAnsi="BCDKE E+ Courier New PSMT" w:cs="BCDKE E+ Courier New PSMT"/>
          <w:color w:val="000000"/>
        </w:rPr>
      </w:pPr>
      <w:r w:rsidRPr="00BC359C">
        <w:rPr>
          <w:rFonts w:ascii="BCDEE E+ Calibri 19" w:hAnsi="BCDEE E+ Calibri 19" w:cs="BCDEE E+ Calibri 19"/>
          <w:color w:val="000000"/>
        </w:rPr>
        <w:t>Fishing effort footprint for demersal and midwater trawl, line gears and gillnet gears for the period 2011</w:t>
      </w:r>
      <w:r w:rsidRPr="00BC359C">
        <w:rPr>
          <w:rFonts w:ascii="Calibri" w:hAnsi="Calibri" w:cs="Calibri"/>
          <w:color w:val="000000"/>
        </w:rPr>
        <w:t>–</w:t>
      </w:r>
      <w:r w:rsidRPr="00BC359C">
        <w:rPr>
          <w:rFonts w:ascii="BCDEE E+ Calibri 19" w:hAnsi="BCDEE E+ Calibri 19" w:cs="BCDEE E+ Calibri 19"/>
          <w:color w:val="000000"/>
        </w:rPr>
        <w:t xml:space="preserve">2016, where available, at a 20 minute (or finer) resolution (as shapefiles) </w:t>
      </w:r>
    </w:p>
    <w:p w14:paraId="0E9DEE3D" w14:textId="64BDA8D7" w:rsidR="00643883" w:rsidRPr="00BC359C" w:rsidRDefault="00643883" w:rsidP="00BC359C">
      <w:pPr>
        <w:pStyle w:val="ListParagraph"/>
        <w:numPr>
          <w:ilvl w:val="1"/>
          <w:numId w:val="18"/>
        </w:numPr>
        <w:autoSpaceDE w:val="0"/>
        <w:autoSpaceDN w:val="0"/>
        <w:adjustRightInd w:val="0"/>
        <w:spacing w:after="38" w:line="240" w:lineRule="auto"/>
        <w:rPr>
          <w:rFonts w:ascii="BCDKE E+ Courier New PSMT" w:hAnsi="BCDKE E+ Courier New PSMT" w:cs="BCDKE E+ Courier New PSMT"/>
          <w:color w:val="000000"/>
        </w:rPr>
      </w:pPr>
      <w:r w:rsidRPr="00BC359C">
        <w:rPr>
          <w:rFonts w:ascii="BCDEE E+ Calibri 19" w:hAnsi="BCDEE E+ Calibri 19" w:cs="BCDEE E+ Calibri 19"/>
          <w:color w:val="000000"/>
        </w:rPr>
        <w:t xml:space="preserve">If finer scale data can be provided, the mid-point of a polygon will be selected and a </w:t>
      </w:r>
      <w:r w:rsidRPr="00BC359C">
        <w:rPr>
          <w:rFonts w:ascii="Calibri" w:hAnsi="Calibri" w:cs="Calibri"/>
          <w:color w:val="000000"/>
        </w:rPr>
        <w:t xml:space="preserve">20 minute cell used for the first run (i.e. the ‘worst case scenario’) </w:t>
      </w:r>
    </w:p>
    <w:p w14:paraId="08A7E7EA" w14:textId="400456DC" w:rsidR="00643883" w:rsidRPr="00BC359C" w:rsidRDefault="00643883" w:rsidP="00BC359C">
      <w:pPr>
        <w:pStyle w:val="ListParagraph"/>
        <w:numPr>
          <w:ilvl w:val="1"/>
          <w:numId w:val="18"/>
        </w:numPr>
        <w:autoSpaceDE w:val="0"/>
        <w:autoSpaceDN w:val="0"/>
        <w:adjustRightInd w:val="0"/>
        <w:spacing w:after="0" w:line="240" w:lineRule="auto"/>
        <w:rPr>
          <w:rFonts w:ascii="BCDKE E+ Courier New PSMT" w:hAnsi="BCDKE E+ Courier New PSMT" w:cs="BCDKE E+ Courier New PSMT"/>
          <w:color w:val="000000"/>
        </w:rPr>
      </w:pPr>
      <w:r w:rsidRPr="00BC359C">
        <w:rPr>
          <w:rFonts w:ascii="BCDEE E+ Calibri 19" w:hAnsi="BCDEE E+ Calibri 19" w:cs="BCDEE E+ Calibri 19"/>
          <w:color w:val="000000"/>
        </w:rPr>
        <w:t xml:space="preserve">Shark catch data for the aforementioned gears, to be used for 1) verifying the species list and 2) understanding the potential susceptibility of various sharks to certain gears </w:t>
      </w:r>
    </w:p>
    <w:p w14:paraId="2C78C12B" w14:textId="22216E20" w:rsidR="00643883" w:rsidRPr="00BC359C" w:rsidRDefault="00643883" w:rsidP="00BC359C">
      <w:pPr>
        <w:pStyle w:val="ListParagraph"/>
        <w:numPr>
          <w:ilvl w:val="0"/>
          <w:numId w:val="18"/>
        </w:numPr>
        <w:autoSpaceDE w:val="0"/>
        <w:autoSpaceDN w:val="0"/>
        <w:adjustRightInd w:val="0"/>
        <w:spacing w:after="53" w:line="240" w:lineRule="auto"/>
        <w:rPr>
          <w:rFonts w:ascii="BCDKE E+ Courier New PSMT" w:hAnsi="BCDKE E+ Courier New PSMT" w:cs="BCDKE E+ Courier New PSMT"/>
          <w:color w:val="000000"/>
        </w:rPr>
      </w:pPr>
      <w:r w:rsidRPr="00BC359C">
        <w:rPr>
          <w:rFonts w:ascii="BCDEE E+ Calibri 19" w:hAnsi="BCDEE E+ Calibri 19" w:cs="BCDEE E+ Calibri 19"/>
          <w:color w:val="000000"/>
        </w:rPr>
        <w:t xml:space="preserve">The ERA-IWG will prepare and submit a working paper on the deepwater chondrichthyans ERAs to SC3 for review and consideration. The paper will be co-authored by the ERA WG/SIOFA SC. </w:t>
      </w:r>
    </w:p>
    <w:p w14:paraId="2F975B33" w14:textId="58316150" w:rsidR="00643883" w:rsidRPr="00BC359C" w:rsidRDefault="00643883" w:rsidP="00BC359C">
      <w:pPr>
        <w:pStyle w:val="ListParagraph"/>
        <w:numPr>
          <w:ilvl w:val="0"/>
          <w:numId w:val="18"/>
        </w:numPr>
        <w:autoSpaceDE w:val="0"/>
        <w:autoSpaceDN w:val="0"/>
        <w:adjustRightInd w:val="0"/>
        <w:spacing w:after="53" w:line="240" w:lineRule="auto"/>
        <w:rPr>
          <w:rFonts w:ascii="BCDKE E+ Courier New PSMT" w:hAnsi="BCDKE E+ Courier New PSMT" w:cs="BCDKE E+ Courier New PSMT"/>
          <w:color w:val="000000"/>
        </w:rPr>
      </w:pPr>
      <w:r w:rsidRPr="00BC359C">
        <w:rPr>
          <w:rFonts w:ascii="BCDEE E+ Calibri 19" w:hAnsi="BCDEE E+ Calibri 19" w:cs="BCDEE E+ Calibri 19"/>
          <w:color w:val="000000"/>
        </w:rPr>
        <w:t xml:space="preserve">Provide advice to the SIOFA secretariat on the design needs of SIOFA data bases for the purposes of ecological risk assessment. </w:t>
      </w:r>
    </w:p>
    <w:p w14:paraId="5C927F6E" w14:textId="2B9BFF4E" w:rsidR="00643883" w:rsidRPr="00BC359C" w:rsidRDefault="00643883" w:rsidP="00BC359C">
      <w:pPr>
        <w:pStyle w:val="ListParagraph"/>
        <w:numPr>
          <w:ilvl w:val="0"/>
          <w:numId w:val="18"/>
        </w:numPr>
        <w:autoSpaceDE w:val="0"/>
        <w:autoSpaceDN w:val="0"/>
        <w:adjustRightInd w:val="0"/>
        <w:spacing w:after="0" w:line="240" w:lineRule="auto"/>
        <w:rPr>
          <w:rFonts w:ascii="BCDKE E+ Courier New PSMT" w:hAnsi="BCDKE E+ Courier New PSMT" w:cs="BCDKE E+ Courier New PSMT"/>
          <w:color w:val="000000"/>
        </w:rPr>
      </w:pPr>
      <w:r w:rsidRPr="00BC359C">
        <w:rPr>
          <w:rFonts w:ascii="BCDEE E+ Calibri 19" w:hAnsi="BCDEE E+ Calibri 19" w:cs="BCDEE E+ Calibri 19"/>
          <w:color w:val="000000"/>
        </w:rPr>
        <w:t xml:space="preserve">This working paper will form the first draft of a scientific paper on the deepwater chondrichthyans ERAs for intended publication in a scientific journal. The paper will be co-authored by all contributing scientists to the ERA WG/SIOFA SC. Intended publication date will be late 2018. </w:t>
      </w:r>
    </w:p>
    <w:p w14:paraId="11EFE3A3" w14:textId="33C18DAC" w:rsidR="00643883" w:rsidRPr="00697CE3" w:rsidRDefault="00643883" w:rsidP="00697CE3">
      <w:pPr>
        <w:autoSpaceDE w:val="0"/>
        <w:autoSpaceDN w:val="0"/>
        <w:adjustRightInd w:val="0"/>
        <w:spacing w:after="0" w:line="240" w:lineRule="auto"/>
        <w:rPr>
          <w:rFonts w:ascii="BCDEE E+ Calibri 19" w:hAnsi="BCDEE E+ Calibri 19" w:cs="BCDEE E+ Calibri 19"/>
          <w:color w:val="000000"/>
        </w:rPr>
      </w:pPr>
    </w:p>
    <w:p w14:paraId="7B27A7EF" w14:textId="77777777" w:rsidR="00697CE3" w:rsidRDefault="00697CE3" w:rsidP="00781511">
      <w:pPr>
        <w:rPr>
          <w:rFonts w:asciiTheme="majorHAnsi" w:eastAsiaTheme="majorEastAsia" w:hAnsiTheme="majorHAnsi" w:cstheme="majorBidi"/>
          <w:b/>
          <w:bCs/>
          <w:color w:val="44546A" w:themeColor="text2"/>
          <w:szCs w:val="26"/>
        </w:rPr>
      </w:pPr>
    </w:p>
    <w:sectPr w:rsidR="00697CE3" w:rsidSect="00A12587">
      <w:pgSz w:w="11906" w:h="16838"/>
      <w:pgMar w:top="1440" w:right="1440" w:bottom="1440" w:left="1440" w:header="708" w:footer="708" w:gutter="0"/>
      <w:pgBorders w:offsetFrom="page">
        <w:top w:val="dashDotStroked" w:sz="24" w:space="24" w:color="44546A" w:themeColor="text2"/>
        <w:left w:val="dashDotStroked" w:sz="24" w:space="24" w:color="44546A" w:themeColor="text2"/>
        <w:bottom w:val="dashDotStroked" w:sz="24" w:space="24" w:color="44546A" w:themeColor="text2"/>
        <w:right w:val="dashDotStroked" w:sz="24" w:space="24" w:color="44546A"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8DE55" w14:textId="77777777" w:rsidR="00AB63EC" w:rsidRDefault="00AB63EC" w:rsidP="00B77F9A">
      <w:pPr>
        <w:spacing w:after="0" w:line="240" w:lineRule="auto"/>
      </w:pPr>
      <w:r>
        <w:separator/>
      </w:r>
    </w:p>
  </w:endnote>
  <w:endnote w:type="continuationSeparator" w:id="0">
    <w:p w14:paraId="6595B634" w14:textId="77777777" w:rsidR="00AB63EC" w:rsidRDefault="00AB63EC" w:rsidP="00B7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CDEE E+ Calibri 19">
    <w:altName w:val="Calibri"/>
    <w:panose1 w:val="00000000000000000000"/>
    <w:charset w:val="00"/>
    <w:family w:val="swiss"/>
    <w:notTrueType/>
    <w:pitch w:val="default"/>
    <w:sig w:usb0="00000003" w:usb1="00000000" w:usb2="00000000" w:usb3="00000000" w:csb0="00000001" w:csb1="00000000"/>
  </w:font>
  <w:font w:name="BCDKE E+ Courier New PSMT">
    <w:altName w:val="Courier New 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F29DE" w14:textId="77777777" w:rsidR="00AB63EC" w:rsidRDefault="00AB63EC" w:rsidP="00B77F9A">
      <w:pPr>
        <w:spacing w:after="0" w:line="240" w:lineRule="auto"/>
      </w:pPr>
      <w:r>
        <w:separator/>
      </w:r>
    </w:p>
  </w:footnote>
  <w:footnote w:type="continuationSeparator" w:id="0">
    <w:p w14:paraId="335EB291" w14:textId="77777777" w:rsidR="00AB63EC" w:rsidRDefault="00AB63EC" w:rsidP="00B7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9BAC8A"/>
    <w:multiLevelType w:val="hybridMultilevel"/>
    <w:tmpl w:val="9CF1FC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26FCF"/>
    <w:multiLevelType w:val="hybridMultilevel"/>
    <w:tmpl w:val="6696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03B2"/>
    <w:multiLevelType w:val="hybridMultilevel"/>
    <w:tmpl w:val="02607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640116"/>
    <w:multiLevelType w:val="hybridMultilevel"/>
    <w:tmpl w:val="ABB85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F1432"/>
    <w:multiLevelType w:val="hybridMultilevel"/>
    <w:tmpl w:val="C2328C9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52721E"/>
    <w:multiLevelType w:val="multilevel"/>
    <w:tmpl w:val="82CE8A54"/>
    <w:lvl w:ilvl="0">
      <w:start w:val="1"/>
      <w:numFmt w:val="decimal"/>
      <w:lvlText w:val="%1."/>
      <w:lvlJc w:val="left"/>
      <w:pPr>
        <w:ind w:left="360" w:hanging="360"/>
      </w:pPr>
    </w:lvl>
    <w:lvl w:ilvl="1">
      <w:start w:val="1"/>
      <w:numFmt w:val="lowerLetter"/>
      <w:lvlText w:val="%2."/>
      <w:lvlJc w:val="left"/>
      <w:pPr>
        <w:ind w:left="1080" w:hanging="360"/>
      </w:pPr>
      <w:rPr>
        <w:rFonts w:asciiTheme="majorHAnsi" w:eastAsiaTheme="majorEastAsia" w:hAnsiTheme="majorHAnsi" w:cstheme="maj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72080F"/>
    <w:multiLevelType w:val="multilevel"/>
    <w:tmpl w:val="6DDAAEF4"/>
    <w:lvl w:ilvl="0">
      <w:start w:val="1"/>
      <w:numFmt w:val="decimal"/>
      <w:lvlText w:val="%1."/>
      <w:lvlJc w:val="left"/>
      <w:pPr>
        <w:ind w:left="360" w:hanging="360"/>
      </w:pPr>
    </w:lvl>
    <w:lvl w:ilvl="1">
      <w:start w:val="1"/>
      <w:numFmt w:val="lowerLetter"/>
      <w:lvlText w:val="%2."/>
      <w:lvlJc w:val="left"/>
      <w:pPr>
        <w:ind w:left="1080" w:hanging="360"/>
      </w:pPr>
      <w:rPr>
        <w:rFonts w:asciiTheme="majorHAnsi" w:eastAsiaTheme="majorEastAsia" w:hAnsiTheme="majorHAnsi" w:cstheme="maj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A1D85F9"/>
    <w:multiLevelType w:val="hybridMultilevel"/>
    <w:tmpl w:val="75A735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6962CDA"/>
    <w:multiLevelType w:val="hybridMultilevel"/>
    <w:tmpl w:val="6DDAAEF4"/>
    <w:lvl w:ilvl="0" w:tplc="0C09000F">
      <w:start w:val="1"/>
      <w:numFmt w:val="decimal"/>
      <w:lvlText w:val="%1."/>
      <w:lvlJc w:val="left"/>
      <w:pPr>
        <w:ind w:left="360" w:hanging="360"/>
      </w:pPr>
    </w:lvl>
    <w:lvl w:ilvl="1" w:tplc="95882A16">
      <w:start w:val="1"/>
      <w:numFmt w:val="lowerLetter"/>
      <w:lvlText w:val="%2."/>
      <w:lvlJc w:val="left"/>
      <w:pPr>
        <w:ind w:left="1080" w:hanging="360"/>
      </w:pPr>
      <w:rPr>
        <w:rFonts w:asciiTheme="majorHAnsi" w:eastAsiaTheme="majorEastAsia" w:hAnsiTheme="majorHAnsi" w:cstheme="maj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9D77AC0"/>
    <w:multiLevelType w:val="hybridMultilevel"/>
    <w:tmpl w:val="ED649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075EC6"/>
    <w:multiLevelType w:val="hybridMultilevel"/>
    <w:tmpl w:val="C8F93E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8546047"/>
    <w:multiLevelType w:val="multilevel"/>
    <w:tmpl w:val="82CE8A54"/>
    <w:lvl w:ilvl="0">
      <w:start w:val="1"/>
      <w:numFmt w:val="decimal"/>
      <w:lvlText w:val="%1."/>
      <w:lvlJc w:val="left"/>
      <w:pPr>
        <w:ind w:left="360" w:hanging="360"/>
      </w:pPr>
    </w:lvl>
    <w:lvl w:ilvl="1">
      <w:start w:val="1"/>
      <w:numFmt w:val="lowerLetter"/>
      <w:lvlText w:val="%2."/>
      <w:lvlJc w:val="left"/>
      <w:pPr>
        <w:ind w:left="1080" w:hanging="360"/>
      </w:pPr>
      <w:rPr>
        <w:rFonts w:asciiTheme="majorHAnsi" w:eastAsiaTheme="majorEastAsia" w:hAnsiTheme="majorHAnsi" w:cstheme="maj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25D55A6"/>
    <w:multiLevelType w:val="multilevel"/>
    <w:tmpl w:val="6DDAAEF4"/>
    <w:lvl w:ilvl="0">
      <w:start w:val="1"/>
      <w:numFmt w:val="decimal"/>
      <w:lvlText w:val="%1."/>
      <w:lvlJc w:val="left"/>
      <w:pPr>
        <w:ind w:left="360" w:hanging="360"/>
      </w:pPr>
    </w:lvl>
    <w:lvl w:ilvl="1">
      <w:start w:val="1"/>
      <w:numFmt w:val="lowerLetter"/>
      <w:lvlText w:val="%2."/>
      <w:lvlJc w:val="left"/>
      <w:pPr>
        <w:ind w:left="1080" w:hanging="360"/>
      </w:pPr>
      <w:rPr>
        <w:rFonts w:asciiTheme="majorHAnsi" w:eastAsiaTheme="majorEastAsia" w:hAnsiTheme="majorHAnsi" w:cstheme="maj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76607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984A08"/>
    <w:multiLevelType w:val="hybridMultilevel"/>
    <w:tmpl w:val="3CB44842"/>
    <w:lvl w:ilvl="0" w:tplc="0C09000F">
      <w:start w:val="1"/>
      <w:numFmt w:val="decimal"/>
      <w:lvlText w:val="%1."/>
      <w:lvlJc w:val="left"/>
      <w:pPr>
        <w:ind w:left="360" w:hanging="360"/>
      </w:pPr>
    </w:lvl>
    <w:lvl w:ilvl="1" w:tplc="95882A16">
      <w:start w:val="1"/>
      <w:numFmt w:val="lowerLetter"/>
      <w:lvlText w:val="%2."/>
      <w:lvlJc w:val="left"/>
      <w:pPr>
        <w:ind w:left="1080" w:hanging="360"/>
      </w:pPr>
      <w:rPr>
        <w:rFonts w:asciiTheme="majorHAnsi" w:eastAsiaTheme="majorEastAsia" w:hAnsiTheme="majorHAnsi" w:cstheme="majorBidi"/>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C67AB0E"/>
    <w:multiLevelType w:val="hybridMultilevel"/>
    <w:tmpl w:val="62FDB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C34AB7"/>
    <w:multiLevelType w:val="multilevel"/>
    <w:tmpl w:val="6DDAAEF4"/>
    <w:lvl w:ilvl="0">
      <w:start w:val="1"/>
      <w:numFmt w:val="decimal"/>
      <w:lvlText w:val="%1."/>
      <w:lvlJc w:val="left"/>
      <w:pPr>
        <w:ind w:left="360" w:hanging="360"/>
      </w:pPr>
    </w:lvl>
    <w:lvl w:ilvl="1">
      <w:start w:val="1"/>
      <w:numFmt w:val="lowerLetter"/>
      <w:lvlText w:val="%2."/>
      <w:lvlJc w:val="left"/>
      <w:pPr>
        <w:ind w:left="1080" w:hanging="360"/>
      </w:pPr>
      <w:rPr>
        <w:rFonts w:asciiTheme="majorHAnsi" w:eastAsiaTheme="majorEastAsia" w:hAnsiTheme="majorHAnsi" w:cstheme="majorBidi"/>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8"/>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6"/>
  </w:num>
  <w:num w:numId="10">
    <w:abstractNumId w:val="12"/>
  </w:num>
  <w:num w:numId="11">
    <w:abstractNumId w:val="16"/>
  </w:num>
  <w:num w:numId="12">
    <w:abstractNumId w:val="10"/>
  </w:num>
  <w:num w:numId="13">
    <w:abstractNumId w:val="0"/>
  </w:num>
  <w:num w:numId="14">
    <w:abstractNumId w:val="15"/>
  </w:num>
  <w:num w:numId="15">
    <w:abstractNumId w:val="7"/>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a163fa5-b874-4acc-892c-afeefd284596"/>
  </w:docVars>
  <w:rsids>
    <w:rsidRoot w:val="00B77F9A"/>
    <w:rsid w:val="00014874"/>
    <w:rsid w:val="00014B67"/>
    <w:rsid w:val="0004475D"/>
    <w:rsid w:val="00056167"/>
    <w:rsid w:val="00065F50"/>
    <w:rsid w:val="00092E62"/>
    <w:rsid w:val="000D2CC5"/>
    <w:rsid w:val="0010660F"/>
    <w:rsid w:val="00175530"/>
    <w:rsid w:val="001839E3"/>
    <w:rsid w:val="001B4BE5"/>
    <w:rsid w:val="001D77B8"/>
    <w:rsid w:val="002269D0"/>
    <w:rsid w:val="00230660"/>
    <w:rsid w:val="00275B93"/>
    <w:rsid w:val="002778F6"/>
    <w:rsid w:val="002E7F59"/>
    <w:rsid w:val="003131A0"/>
    <w:rsid w:val="00331853"/>
    <w:rsid w:val="004240FC"/>
    <w:rsid w:val="00450659"/>
    <w:rsid w:val="00471FD4"/>
    <w:rsid w:val="004730B1"/>
    <w:rsid w:val="004B1A25"/>
    <w:rsid w:val="00560C96"/>
    <w:rsid w:val="005944B0"/>
    <w:rsid w:val="005F2C86"/>
    <w:rsid w:val="0061164A"/>
    <w:rsid w:val="00643883"/>
    <w:rsid w:val="006543A9"/>
    <w:rsid w:val="00677919"/>
    <w:rsid w:val="00697CE3"/>
    <w:rsid w:val="00716509"/>
    <w:rsid w:val="007327C7"/>
    <w:rsid w:val="00756DBA"/>
    <w:rsid w:val="00781511"/>
    <w:rsid w:val="007925C8"/>
    <w:rsid w:val="007A058B"/>
    <w:rsid w:val="007A43DA"/>
    <w:rsid w:val="007B4284"/>
    <w:rsid w:val="007C3017"/>
    <w:rsid w:val="00811861"/>
    <w:rsid w:val="00813B19"/>
    <w:rsid w:val="008149B1"/>
    <w:rsid w:val="0085057F"/>
    <w:rsid w:val="008A13CE"/>
    <w:rsid w:val="008C4032"/>
    <w:rsid w:val="008D23BF"/>
    <w:rsid w:val="008D71D8"/>
    <w:rsid w:val="008E58E7"/>
    <w:rsid w:val="00956E96"/>
    <w:rsid w:val="0098071B"/>
    <w:rsid w:val="009B6482"/>
    <w:rsid w:val="009F5FB3"/>
    <w:rsid w:val="00A12587"/>
    <w:rsid w:val="00A17604"/>
    <w:rsid w:val="00A256AB"/>
    <w:rsid w:val="00AB63EC"/>
    <w:rsid w:val="00AD3FE8"/>
    <w:rsid w:val="00B00937"/>
    <w:rsid w:val="00B37161"/>
    <w:rsid w:val="00B7090E"/>
    <w:rsid w:val="00B77F9A"/>
    <w:rsid w:val="00B84006"/>
    <w:rsid w:val="00BB1C0F"/>
    <w:rsid w:val="00BC359C"/>
    <w:rsid w:val="00BD3618"/>
    <w:rsid w:val="00C307C4"/>
    <w:rsid w:val="00C43901"/>
    <w:rsid w:val="00C5083D"/>
    <w:rsid w:val="00C80096"/>
    <w:rsid w:val="00C92550"/>
    <w:rsid w:val="00CD60B9"/>
    <w:rsid w:val="00D12495"/>
    <w:rsid w:val="00D22CE7"/>
    <w:rsid w:val="00D36B61"/>
    <w:rsid w:val="00D74784"/>
    <w:rsid w:val="00DF551A"/>
    <w:rsid w:val="00E23B71"/>
    <w:rsid w:val="00E40B9A"/>
    <w:rsid w:val="00E52E95"/>
    <w:rsid w:val="00E60D8F"/>
    <w:rsid w:val="00E82D13"/>
    <w:rsid w:val="00E97D50"/>
    <w:rsid w:val="00EA45FC"/>
    <w:rsid w:val="00EB2242"/>
    <w:rsid w:val="00EC2FDC"/>
    <w:rsid w:val="00EF3783"/>
    <w:rsid w:val="00EF3D44"/>
    <w:rsid w:val="00F018EE"/>
    <w:rsid w:val="00F14A28"/>
    <w:rsid w:val="00F273CF"/>
    <w:rsid w:val="00F277E6"/>
    <w:rsid w:val="00F61067"/>
    <w:rsid w:val="00FA1851"/>
    <w:rsid w:val="00FB1C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C3B5D"/>
  <w15:docId w15:val="{4FA9F6C0-C90C-4F20-A474-305A42A0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9A"/>
    <w:pPr>
      <w:spacing w:after="200" w:line="276" w:lineRule="auto"/>
    </w:pPr>
  </w:style>
  <w:style w:type="paragraph" w:styleId="Heading2">
    <w:name w:val="heading 2"/>
    <w:basedOn w:val="Normal"/>
    <w:next w:val="Normal"/>
    <w:link w:val="Heading2Char"/>
    <w:uiPriority w:val="9"/>
    <w:unhideWhenUsed/>
    <w:qFormat/>
    <w:rsid w:val="00B77F9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9A"/>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B77F9A"/>
    <w:rPr>
      <w:color w:val="0563C1" w:themeColor="hyperlink"/>
      <w:u w:val="single"/>
    </w:rPr>
  </w:style>
  <w:style w:type="table" w:styleId="TableGrid">
    <w:name w:val="Table Grid"/>
    <w:basedOn w:val="TableNormal"/>
    <w:uiPriority w:val="59"/>
    <w:rsid w:val="00B7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F9A"/>
    <w:pPr>
      <w:ind w:left="720"/>
      <w:contextualSpacing/>
    </w:pPr>
  </w:style>
  <w:style w:type="paragraph" w:styleId="Header">
    <w:name w:val="header"/>
    <w:basedOn w:val="Normal"/>
    <w:link w:val="HeaderChar"/>
    <w:uiPriority w:val="99"/>
    <w:unhideWhenUsed/>
    <w:rsid w:val="00B7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F9A"/>
  </w:style>
  <w:style w:type="paragraph" w:styleId="Footer">
    <w:name w:val="footer"/>
    <w:basedOn w:val="Normal"/>
    <w:link w:val="FooterChar"/>
    <w:uiPriority w:val="99"/>
    <w:unhideWhenUsed/>
    <w:rsid w:val="00B7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F9A"/>
  </w:style>
  <w:style w:type="paragraph" w:customStyle="1" w:styleId="Default">
    <w:name w:val="Default"/>
    <w:rsid w:val="0085057F"/>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065F50"/>
    <w:rPr>
      <w:sz w:val="16"/>
      <w:szCs w:val="16"/>
    </w:rPr>
  </w:style>
  <w:style w:type="paragraph" w:styleId="CommentText">
    <w:name w:val="annotation text"/>
    <w:basedOn w:val="Normal"/>
    <w:link w:val="CommentTextChar"/>
    <w:uiPriority w:val="99"/>
    <w:semiHidden/>
    <w:unhideWhenUsed/>
    <w:rsid w:val="00065F50"/>
    <w:pPr>
      <w:spacing w:line="240" w:lineRule="auto"/>
    </w:pPr>
    <w:rPr>
      <w:sz w:val="20"/>
      <w:szCs w:val="20"/>
    </w:rPr>
  </w:style>
  <w:style w:type="character" w:customStyle="1" w:styleId="CommentTextChar">
    <w:name w:val="Comment Text Char"/>
    <w:basedOn w:val="DefaultParagraphFont"/>
    <w:link w:val="CommentText"/>
    <w:uiPriority w:val="99"/>
    <w:semiHidden/>
    <w:rsid w:val="00065F50"/>
    <w:rPr>
      <w:sz w:val="20"/>
      <w:szCs w:val="20"/>
    </w:rPr>
  </w:style>
  <w:style w:type="paragraph" w:styleId="CommentSubject">
    <w:name w:val="annotation subject"/>
    <w:basedOn w:val="CommentText"/>
    <w:next w:val="CommentText"/>
    <w:link w:val="CommentSubjectChar"/>
    <w:uiPriority w:val="99"/>
    <w:semiHidden/>
    <w:unhideWhenUsed/>
    <w:rsid w:val="00065F50"/>
    <w:rPr>
      <w:b/>
      <w:bCs/>
    </w:rPr>
  </w:style>
  <w:style w:type="character" w:customStyle="1" w:styleId="CommentSubjectChar">
    <w:name w:val="Comment Subject Char"/>
    <w:basedOn w:val="CommentTextChar"/>
    <w:link w:val="CommentSubject"/>
    <w:uiPriority w:val="99"/>
    <w:semiHidden/>
    <w:rsid w:val="00065F50"/>
    <w:rPr>
      <w:b/>
      <w:bCs/>
      <w:sz w:val="20"/>
      <w:szCs w:val="20"/>
    </w:rPr>
  </w:style>
  <w:style w:type="paragraph" w:styleId="BalloonText">
    <w:name w:val="Balloon Text"/>
    <w:basedOn w:val="Normal"/>
    <w:link w:val="BalloonTextChar"/>
    <w:uiPriority w:val="99"/>
    <w:semiHidden/>
    <w:unhideWhenUsed/>
    <w:rsid w:val="00065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F50"/>
    <w:rPr>
      <w:rFonts w:ascii="Segoe UI" w:hAnsi="Segoe UI" w:cs="Segoe UI"/>
      <w:sz w:val="18"/>
      <w:szCs w:val="18"/>
    </w:rPr>
  </w:style>
  <w:style w:type="paragraph" w:styleId="FootnoteText">
    <w:name w:val="footnote text"/>
    <w:basedOn w:val="Normal"/>
    <w:link w:val="FootnoteTextChar"/>
    <w:uiPriority w:val="99"/>
    <w:semiHidden/>
    <w:unhideWhenUsed/>
    <w:rsid w:val="00781511"/>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781511"/>
    <w:rPr>
      <w:rFonts w:eastAsiaTheme="minorEastAsia"/>
      <w:sz w:val="20"/>
      <w:szCs w:val="20"/>
      <w:lang w:val="en-GB" w:eastAsia="en-GB"/>
    </w:rPr>
  </w:style>
  <w:style w:type="character" w:styleId="FootnoteReference">
    <w:name w:val="footnote reference"/>
    <w:basedOn w:val="DefaultParagraphFont"/>
    <w:uiPriority w:val="99"/>
    <w:semiHidden/>
    <w:unhideWhenUsed/>
    <w:rsid w:val="00781511"/>
    <w:rPr>
      <w:vertAlign w:val="superscript"/>
    </w:rPr>
  </w:style>
  <w:style w:type="paragraph" w:styleId="Revision">
    <w:name w:val="Revision"/>
    <w:hidden/>
    <w:uiPriority w:val="99"/>
    <w:semiHidden/>
    <w:rsid w:val="00560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CF34F-D910-4CB8-A1CD-105E485A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1029</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Agriculture</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dc:creator>
  <cp:lastModifiedBy>Lee Georgeson</cp:lastModifiedBy>
  <cp:revision>11</cp:revision>
  <dcterms:created xsi:type="dcterms:W3CDTF">2017-10-09T21:38:00Z</dcterms:created>
  <dcterms:modified xsi:type="dcterms:W3CDTF">2017-10-09T22:51:00Z</dcterms:modified>
</cp:coreProperties>
</file>