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7261" w14:textId="5187D67A" w:rsidR="003576DD" w:rsidRPr="009B4186" w:rsidRDefault="001C3F2E" w:rsidP="008D1DB5">
      <w:pPr>
        <w:spacing w:after="160" w:line="259" w:lineRule="auto"/>
        <w:jc w:val="center"/>
        <w:rPr>
          <w:rFonts w:ascii="Cambria" w:eastAsia="Calibri" w:hAnsi="Cambria" w:cs="Times New Roman"/>
          <w:b/>
          <w:bCs/>
        </w:rPr>
      </w:pPr>
      <w:r>
        <w:rPr>
          <w:rFonts w:ascii="Cambria" w:eastAsia="Calibri" w:hAnsi="Cambria" w:cs="Times New Roman"/>
          <w:b/>
          <w:bCs/>
        </w:rPr>
        <w:t>CMM 2016</w:t>
      </w:r>
      <w:r w:rsidR="00D32E99">
        <w:rPr>
          <w:rFonts w:ascii="Cambria" w:eastAsia="Calibri" w:hAnsi="Cambria" w:cs="Times New Roman"/>
          <w:b/>
          <w:bCs/>
        </w:rPr>
        <w:t>/05</w:t>
      </w:r>
    </w:p>
    <w:p w14:paraId="486CD4DF" w14:textId="1DB6475A" w:rsidR="003576DD" w:rsidRPr="009B4186" w:rsidRDefault="003576DD" w:rsidP="001734CE">
      <w:pPr>
        <w:spacing w:after="160" w:line="259" w:lineRule="auto"/>
        <w:jc w:val="center"/>
        <w:rPr>
          <w:rFonts w:ascii="Cambria" w:eastAsia="Calibri" w:hAnsi="Cambria" w:cs="Times New Roman"/>
          <w:b/>
          <w:bCs/>
        </w:rPr>
      </w:pPr>
      <w:r w:rsidRPr="009B4186">
        <w:rPr>
          <w:rFonts w:ascii="Cambria" w:eastAsia="Calibri" w:hAnsi="Cambria" w:cs="Times New Roman"/>
          <w:b/>
          <w:bCs/>
        </w:rPr>
        <w:t xml:space="preserve">Conservation and Management Measure </w:t>
      </w:r>
      <w:r w:rsidR="00230392">
        <w:rPr>
          <w:rFonts w:ascii="Cambria" w:eastAsia="Calibri" w:hAnsi="Cambria" w:cs="Times New Roman"/>
          <w:b/>
          <w:bCs/>
        </w:rPr>
        <w:t>regarding</w:t>
      </w:r>
      <w:r w:rsidR="00C75E59">
        <w:rPr>
          <w:rFonts w:ascii="Cambria" w:eastAsia="Calibri" w:hAnsi="Cambria" w:cs="Times New Roman"/>
          <w:b/>
          <w:bCs/>
        </w:rPr>
        <w:t xml:space="preserve"> the</w:t>
      </w:r>
      <w:r w:rsidR="001520A6">
        <w:rPr>
          <w:rFonts w:ascii="Cambria" w:eastAsia="Calibri" w:hAnsi="Cambria" w:cs="Times New Roman"/>
          <w:b/>
          <w:bCs/>
        </w:rPr>
        <w:t xml:space="preserve"> </w:t>
      </w:r>
      <w:r w:rsidRPr="009B4186">
        <w:rPr>
          <w:rFonts w:ascii="Cambria" w:eastAsia="Calibri" w:hAnsi="Cambria" w:cs="Times New Roman"/>
          <w:b/>
          <w:bCs/>
        </w:rPr>
        <w:t xml:space="preserve">use of large‐scale pelagic </w:t>
      </w:r>
      <w:r w:rsidR="00CF29AE">
        <w:rPr>
          <w:rFonts w:ascii="Cambria" w:eastAsia="Calibri" w:hAnsi="Cambria" w:cs="Times New Roman"/>
          <w:b/>
          <w:bCs/>
        </w:rPr>
        <w:t>driftnets</w:t>
      </w:r>
      <w:r w:rsidR="00CF29AE" w:rsidRPr="009B4186">
        <w:rPr>
          <w:rFonts w:ascii="Cambria" w:eastAsia="Calibri" w:hAnsi="Cambria" w:cs="Times New Roman"/>
          <w:b/>
          <w:bCs/>
        </w:rPr>
        <w:t xml:space="preserve"> </w:t>
      </w:r>
      <w:r w:rsidRPr="009B4186">
        <w:rPr>
          <w:rFonts w:ascii="Cambria" w:eastAsia="Calibri" w:hAnsi="Cambria" w:cs="Times New Roman"/>
          <w:b/>
          <w:bCs/>
        </w:rPr>
        <w:t xml:space="preserve">and </w:t>
      </w:r>
      <w:proofErr w:type="spellStart"/>
      <w:r w:rsidRPr="009B4186">
        <w:rPr>
          <w:rFonts w:ascii="Cambria" w:eastAsia="Calibri" w:hAnsi="Cambria" w:cs="Times New Roman"/>
          <w:b/>
          <w:bCs/>
        </w:rPr>
        <w:t>deepwater</w:t>
      </w:r>
      <w:proofErr w:type="spellEnd"/>
      <w:r w:rsidRPr="009B4186">
        <w:rPr>
          <w:rFonts w:ascii="Cambria" w:eastAsia="Calibri" w:hAnsi="Cambria" w:cs="Times New Roman"/>
          <w:b/>
          <w:bCs/>
        </w:rPr>
        <w:t xml:space="preserve"> gillnets in the Southern Indian Ocean Fisheries Agreement Area</w:t>
      </w:r>
      <w:r w:rsidR="0012455F">
        <w:rPr>
          <w:rFonts w:ascii="Cambria" w:eastAsia="Calibri" w:hAnsi="Cambria" w:cs="Times New Roman"/>
          <w:b/>
          <w:bCs/>
        </w:rPr>
        <w:t xml:space="preserve"> </w:t>
      </w:r>
      <w:r w:rsidR="003319E0">
        <w:rPr>
          <w:rFonts w:ascii="Cambria" w:eastAsia="Calibri" w:hAnsi="Cambria" w:cs="Times New Roman"/>
          <w:b/>
          <w:bCs/>
        </w:rPr>
        <w:t>(Pelagic Driftnets and Deepwater Gillnets)</w:t>
      </w:r>
    </w:p>
    <w:p w14:paraId="122F3C7E" w14:textId="77777777" w:rsidR="003576DD" w:rsidRDefault="003576DD" w:rsidP="003576DD">
      <w:pPr>
        <w:autoSpaceDE w:val="0"/>
        <w:autoSpaceDN w:val="0"/>
        <w:adjustRightInd w:val="0"/>
        <w:spacing w:after="0" w:line="240" w:lineRule="auto"/>
        <w:jc w:val="center"/>
        <w:rPr>
          <w:rFonts w:ascii="Calibri-Bold" w:hAnsi="Calibri-Bold" w:cs="Calibri-Bold"/>
          <w:b/>
          <w:bCs/>
          <w:sz w:val="28"/>
          <w:szCs w:val="28"/>
        </w:rPr>
      </w:pPr>
    </w:p>
    <w:p w14:paraId="39305A35" w14:textId="4A66AD3E" w:rsidR="003576DD" w:rsidRPr="009B4186" w:rsidRDefault="00432C48" w:rsidP="003576DD">
      <w:pPr>
        <w:autoSpaceDE w:val="0"/>
        <w:autoSpaceDN w:val="0"/>
        <w:adjustRightInd w:val="0"/>
        <w:spacing w:after="0" w:line="240" w:lineRule="auto"/>
        <w:rPr>
          <w:rFonts w:ascii="Cambria" w:hAnsi="Cambria" w:cs="Cambria"/>
          <w:b/>
          <w:bCs/>
        </w:rPr>
      </w:pPr>
      <w:r>
        <w:rPr>
          <w:rFonts w:ascii="Cambria" w:hAnsi="Cambria" w:cs="Cambria"/>
          <w:b/>
          <w:bCs/>
        </w:rPr>
        <w:t>T</w:t>
      </w:r>
      <w:r w:rsidR="001944EB">
        <w:rPr>
          <w:rFonts w:ascii="Cambria" w:hAnsi="Cambria" w:cs="Cambria"/>
          <w:b/>
          <w:bCs/>
        </w:rPr>
        <w:t>he Meeting of the Parties</w:t>
      </w:r>
      <w:r w:rsidR="003576DD" w:rsidRPr="009B4186">
        <w:rPr>
          <w:rFonts w:ascii="Cambria" w:hAnsi="Cambria" w:cs="Cambria"/>
          <w:b/>
          <w:bCs/>
        </w:rPr>
        <w:t xml:space="preserve"> to the Southern Indian Ocean Fisheries Agreement;</w:t>
      </w:r>
    </w:p>
    <w:p w14:paraId="0F017215" w14:textId="77777777" w:rsidR="003576DD" w:rsidRPr="009B4186" w:rsidRDefault="003576DD" w:rsidP="003576DD">
      <w:pPr>
        <w:autoSpaceDE w:val="0"/>
        <w:autoSpaceDN w:val="0"/>
        <w:adjustRightInd w:val="0"/>
        <w:spacing w:after="0" w:line="240" w:lineRule="auto"/>
        <w:rPr>
          <w:rFonts w:ascii="Cambria" w:hAnsi="Cambria" w:cs="Cambria"/>
          <w:b/>
          <w:bCs/>
        </w:rPr>
      </w:pPr>
    </w:p>
    <w:p w14:paraId="45824667" w14:textId="77777777" w:rsidR="003576DD" w:rsidRPr="009B4186" w:rsidRDefault="003576DD" w:rsidP="003576DD">
      <w:pPr>
        <w:autoSpaceDE w:val="0"/>
        <w:autoSpaceDN w:val="0"/>
        <w:adjustRightInd w:val="0"/>
        <w:spacing w:after="0" w:line="240" w:lineRule="auto"/>
        <w:rPr>
          <w:rFonts w:ascii="Cambria" w:hAnsi="Cambria" w:cs="Calibri"/>
        </w:rPr>
      </w:pPr>
      <w:r w:rsidRPr="009B4186">
        <w:rPr>
          <w:rFonts w:ascii="Cambria" w:hAnsi="Cambria" w:cs="Calibri-Bold"/>
          <w:bCs/>
          <w:i/>
        </w:rPr>
        <w:t>CONCERNED</w:t>
      </w:r>
      <w:r w:rsidRPr="009B4186">
        <w:rPr>
          <w:rFonts w:ascii="Cambria" w:hAnsi="Cambria" w:cs="Calibri-Bold"/>
          <w:b/>
          <w:bCs/>
        </w:rPr>
        <w:t xml:space="preserve"> </w:t>
      </w:r>
      <w:r w:rsidRPr="009B4186">
        <w:rPr>
          <w:rFonts w:ascii="Cambria" w:hAnsi="Cambria" w:cs="Calibri"/>
        </w:rPr>
        <w:t xml:space="preserve">by the impact of large‐scale pelagic </w:t>
      </w:r>
      <w:r w:rsidR="00D72849">
        <w:rPr>
          <w:rFonts w:ascii="Cambria" w:hAnsi="Cambria" w:cs="Calibri"/>
        </w:rPr>
        <w:t>drift</w:t>
      </w:r>
      <w:r w:rsidRPr="009B4186">
        <w:rPr>
          <w:rFonts w:ascii="Cambria" w:hAnsi="Cambria" w:cs="Calibri"/>
        </w:rPr>
        <w:t xml:space="preserve">nets and </w:t>
      </w:r>
      <w:proofErr w:type="spellStart"/>
      <w:r w:rsidRPr="009B4186">
        <w:rPr>
          <w:rFonts w:ascii="Cambria" w:hAnsi="Cambria" w:cs="Calibri"/>
        </w:rPr>
        <w:t>deepwater</w:t>
      </w:r>
      <w:proofErr w:type="spellEnd"/>
      <w:r w:rsidRPr="009B4186">
        <w:rPr>
          <w:rFonts w:ascii="Cambria" w:hAnsi="Cambria" w:cs="Calibri"/>
        </w:rPr>
        <w:t xml:space="preserve"> gillnets on fishery resources, bycatch species and </w:t>
      </w:r>
      <w:proofErr w:type="gramStart"/>
      <w:r w:rsidRPr="009B4186">
        <w:rPr>
          <w:rFonts w:ascii="Cambria" w:hAnsi="Cambria" w:cs="Calibri"/>
        </w:rPr>
        <w:t>deep sea</w:t>
      </w:r>
      <w:proofErr w:type="gramEnd"/>
      <w:r w:rsidRPr="009B4186">
        <w:rPr>
          <w:rFonts w:ascii="Cambria" w:hAnsi="Cambria" w:cs="Calibri"/>
        </w:rPr>
        <w:t xml:space="preserve"> habitats and ecosystems, including the i</w:t>
      </w:r>
      <w:r w:rsidR="00D72849">
        <w:rPr>
          <w:rFonts w:ascii="Cambria" w:hAnsi="Cambria" w:cs="Calibri"/>
        </w:rPr>
        <w:t xml:space="preserve">mpact of lost and abandoned </w:t>
      </w:r>
      <w:r w:rsidRPr="009B4186">
        <w:rPr>
          <w:rFonts w:ascii="Cambria" w:hAnsi="Cambria" w:cs="Calibri"/>
        </w:rPr>
        <w:t>nets;</w:t>
      </w:r>
    </w:p>
    <w:p w14:paraId="31D3AECB" w14:textId="77777777" w:rsidR="003576DD" w:rsidRPr="009B4186" w:rsidRDefault="003576DD" w:rsidP="003576DD">
      <w:pPr>
        <w:autoSpaceDE w:val="0"/>
        <w:autoSpaceDN w:val="0"/>
        <w:adjustRightInd w:val="0"/>
        <w:spacing w:after="0" w:line="240" w:lineRule="auto"/>
        <w:rPr>
          <w:rFonts w:ascii="Cambria" w:hAnsi="Cambria" w:cs="Calibri-Bold"/>
          <w:b/>
          <w:bCs/>
        </w:rPr>
      </w:pPr>
    </w:p>
    <w:p w14:paraId="20E55F44" w14:textId="77777777" w:rsidR="003576DD" w:rsidRPr="009B4186" w:rsidRDefault="003576DD" w:rsidP="003576DD">
      <w:pPr>
        <w:autoSpaceDE w:val="0"/>
        <w:autoSpaceDN w:val="0"/>
        <w:adjustRightInd w:val="0"/>
        <w:spacing w:after="0" w:line="240" w:lineRule="auto"/>
        <w:rPr>
          <w:rFonts w:ascii="Cambria" w:hAnsi="Cambria" w:cs="Calibri-Bold"/>
          <w:b/>
          <w:bCs/>
        </w:rPr>
      </w:pPr>
      <w:r w:rsidRPr="009B4186">
        <w:rPr>
          <w:rFonts w:ascii="Cambria" w:hAnsi="Cambria" w:cs="Calibri-Bold"/>
          <w:bCs/>
          <w:i/>
        </w:rPr>
        <w:t xml:space="preserve">NOTING </w:t>
      </w:r>
      <w:r w:rsidRPr="009B4186">
        <w:rPr>
          <w:rFonts w:ascii="Cambria" w:hAnsi="Cambria" w:cs="Calibri"/>
        </w:rPr>
        <w:t xml:space="preserve">the relevance of </w:t>
      </w:r>
      <w:r w:rsidR="00C2219C" w:rsidRPr="009B4186">
        <w:rPr>
          <w:rFonts w:ascii="Cambria" w:hAnsi="Cambria" w:cs="Calibri"/>
        </w:rPr>
        <w:t>United Nations General Assembly (</w:t>
      </w:r>
      <w:r w:rsidRPr="009B4186">
        <w:rPr>
          <w:rFonts w:ascii="Cambria" w:hAnsi="Cambria" w:cs="Calibri"/>
        </w:rPr>
        <w:t>UNGA</w:t>
      </w:r>
      <w:r w:rsidR="00C2219C" w:rsidRPr="009B4186">
        <w:rPr>
          <w:rFonts w:ascii="Cambria" w:hAnsi="Cambria" w:cs="Calibri"/>
        </w:rPr>
        <w:t>)</w:t>
      </w:r>
      <w:r w:rsidRPr="009B4186">
        <w:rPr>
          <w:rFonts w:ascii="Cambria" w:hAnsi="Cambria" w:cs="Calibri"/>
        </w:rPr>
        <w:t xml:space="preserve"> Resolution 46/215 on</w:t>
      </w:r>
      <w:r w:rsidRPr="009B4186">
        <w:rPr>
          <w:rFonts w:ascii="Cambria" w:hAnsi="Cambria" w:cs="Calibri"/>
          <w:i/>
        </w:rPr>
        <w:t xml:space="preserve"> Large</w:t>
      </w:r>
      <w:r w:rsidR="00C2219C" w:rsidRPr="009B4186">
        <w:rPr>
          <w:rFonts w:ascii="Cambria" w:hAnsi="Cambria" w:cs="Calibri"/>
          <w:i/>
        </w:rPr>
        <w:noBreakHyphen/>
      </w:r>
      <w:r w:rsidRPr="009B4186">
        <w:rPr>
          <w:rFonts w:ascii="Cambria" w:hAnsi="Cambria" w:cs="Calibri"/>
          <w:i/>
        </w:rPr>
        <w:t>scale pelagic drift‐net fishing and its impact on the living marine resources of the world’s oceans and seas,</w:t>
      </w:r>
      <w:r w:rsidRPr="009B4186">
        <w:rPr>
          <w:rFonts w:ascii="Cambria" w:hAnsi="Cambria" w:cs="Calibri"/>
        </w:rPr>
        <w:t xml:space="preserve"> which calls for the implementation of UNGA resolutions 44/225 and 45/197 and for a global moratorium o</w:t>
      </w:r>
      <w:r w:rsidR="00D72849">
        <w:rPr>
          <w:rFonts w:ascii="Cambria" w:hAnsi="Cambria" w:cs="Calibri"/>
        </w:rPr>
        <w:t>n all large</w:t>
      </w:r>
      <w:r w:rsidR="00D72849">
        <w:rPr>
          <w:rFonts w:ascii="Cambria" w:hAnsi="Cambria" w:cs="Calibri"/>
        </w:rPr>
        <w:noBreakHyphen/>
        <w:t>scale pelagic drift</w:t>
      </w:r>
      <w:r w:rsidRPr="009B4186">
        <w:rPr>
          <w:rFonts w:ascii="Cambria" w:hAnsi="Cambria" w:cs="Calibri"/>
        </w:rPr>
        <w:t>net fishing on the high seas of the world's oceans;</w:t>
      </w:r>
    </w:p>
    <w:p w14:paraId="1A846C0D" w14:textId="77777777" w:rsidR="003576DD" w:rsidRPr="009B4186" w:rsidRDefault="003576DD" w:rsidP="003576DD">
      <w:pPr>
        <w:autoSpaceDE w:val="0"/>
        <w:autoSpaceDN w:val="0"/>
        <w:adjustRightInd w:val="0"/>
        <w:spacing w:after="0" w:line="240" w:lineRule="auto"/>
        <w:rPr>
          <w:rFonts w:ascii="Cambria" w:hAnsi="Cambria" w:cs="Calibri-Bold"/>
          <w:b/>
          <w:bCs/>
        </w:rPr>
      </w:pPr>
    </w:p>
    <w:p w14:paraId="6531F8FA" w14:textId="77777777" w:rsidR="003576DD" w:rsidRPr="009B4186" w:rsidRDefault="003576DD" w:rsidP="003576DD">
      <w:pPr>
        <w:autoSpaceDE w:val="0"/>
        <w:autoSpaceDN w:val="0"/>
        <w:adjustRightInd w:val="0"/>
        <w:spacing w:after="0" w:line="240" w:lineRule="auto"/>
        <w:rPr>
          <w:rFonts w:ascii="Cambria" w:hAnsi="Cambria" w:cs="Calibri"/>
        </w:rPr>
      </w:pPr>
      <w:r w:rsidRPr="009B4186">
        <w:rPr>
          <w:rFonts w:ascii="Cambria" w:hAnsi="Cambria" w:cs="Calibri-Bold"/>
          <w:bCs/>
          <w:i/>
        </w:rPr>
        <w:t>FURTHER NOTING</w:t>
      </w:r>
      <w:r w:rsidRPr="009B4186">
        <w:rPr>
          <w:rFonts w:ascii="Cambria" w:hAnsi="Cambria" w:cs="Calibri-Bold"/>
          <w:b/>
          <w:bCs/>
        </w:rPr>
        <w:t xml:space="preserve"> </w:t>
      </w:r>
      <w:r w:rsidRPr="009B4186">
        <w:rPr>
          <w:rFonts w:ascii="Cambria" w:hAnsi="Cambria" w:cs="Calibri"/>
        </w:rPr>
        <w:t>Resolution 61/105, adopted by the UNGA at the 61</w:t>
      </w:r>
      <w:r w:rsidRPr="009B4186">
        <w:rPr>
          <w:rFonts w:ascii="Cambria" w:hAnsi="Cambria" w:cs="Calibri"/>
          <w:vertAlign w:val="superscript"/>
        </w:rPr>
        <w:t>st</w:t>
      </w:r>
      <w:r w:rsidRPr="009B4186">
        <w:rPr>
          <w:rFonts w:ascii="Cambria" w:hAnsi="Cambria" w:cs="Calibri"/>
          <w:sz w:val="14"/>
          <w:szCs w:val="14"/>
        </w:rPr>
        <w:t xml:space="preserve"> </w:t>
      </w:r>
      <w:r w:rsidRPr="009B4186">
        <w:rPr>
          <w:rFonts w:ascii="Cambria" w:hAnsi="Cambria" w:cs="Calibri"/>
        </w:rPr>
        <w:t>Plenary Meeting on 8</w:t>
      </w:r>
      <w:r w:rsidR="00C2219C" w:rsidRPr="009B4186">
        <w:rPr>
          <w:rFonts w:ascii="Cambria" w:hAnsi="Cambria" w:cs="Calibri"/>
        </w:rPr>
        <w:t> </w:t>
      </w:r>
      <w:r w:rsidRPr="009B4186">
        <w:rPr>
          <w:rFonts w:ascii="Cambria" w:hAnsi="Cambria" w:cs="Calibri"/>
        </w:rPr>
        <w:t>December 2006 and subsequent UNGA resolutions that call on States and regional fisheries management organisations to regulate bottom fisheries and implement measures in accordance with the precautionary approach and ecosystem approaches to fisheries management;</w:t>
      </w:r>
    </w:p>
    <w:p w14:paraId="492968E2" w14:textId="77777777" w:rsidR="003576DD" w:rsidRPr="009B4186" w:rsidRDefault="003576DD" w:rsidP="003576DD">
      <w:pPr>
        <w:autoSpaceDE w:val="0"/>
        <w:autoSpaceDN w:val="0"/>
        <w:adjustRightInd w:val="0"/>
        <w:spacing w:after="0" w:line="240" w:lineRule="auto"/>
        <w:rPr>
          <w:rFonts w:ascii="Cambria" w:hAnsi="Cambria" w:cs="Calibri-Bold"/>
          <w:b/>
          <w:bCs/>
        </w:rPr>
      </w:pPr>
    </w:p>
    <w:p w14:paraId="54A98CAD" w14:textId="77777777" w:rsidR="003576DD" w:rsidRPr="009B4186" w:rsidRDefault="003576DD" w:rsidP="003576DD">
      <w:pPr>
        <w:autoSpaceDE w:val="0"/>
        <w:autoSpaceDN w:val="0"/>
        <w:adjustRightInd w:val="0"/>
        <w:spacing w:after="0" w:line="240" w:lineRule="auto"/>
        <w:rPr>
          <w:rFonts w:ascii="Cambria" w:hAnsi="Cambria" w:cs="Calibri"/>
        </w:rPr>
      </w:pPr>
      <w:r w:rsidRPr="009B4186">
        <w:rPr>
          <w:rFonts w:ascii="Cambria" w:hAnsi="Cambria" w:cs="Calibri-Bold"/>
          <w:bCs/>
          <w:i/>
        </w:rPr>
        <w:t>RECALLING</w:t>
      </w:r>
      <w:r w:rsidRPr="009B4186">
        <w:rPr>
          <w:rFonts w:ascii="Cambria" w:hAnsi="Cambria" w:cs="Calibri-Bold"/>
          <w:b/>
          <w:bCs/>
        </w:rPr>
        <w:t xml:space="preserve"> </w:t>
      </w:r>
      <w:r w:rsidRPr="009B4186">
        <w:rPr>
          <w:rFonts w:ascii="Cambria" w:hAnsi="Cambria" w:cs="Calibri-Bold"/>
          <w:bCs/>
        </w:rPr>
        <w:t xml:space="preserve">that </w:t>
      </w:r>
      <w:r w:rsidR="00C2219C" w:rsidRPr="009B4186">
        <w:rPr>
          <w:rFonts w:ascii="Cambria" w:hAnsi="Cambria" w:cs="Calibri-Bold"/>
          <w:bCs/>
        </w:rPr>
        <w:t>A</w:t>
      </w:r>
      <w:r w:rsidRPr="009B4186">
        <w:rPr>
          <w:rFonts w:ascii="Cambria" w:hAnsi="Cambria" w:cs="Calibri-Bold"/>
          <w:bCs/>
        </w:rPr>
        <w:t>rticle 6</w:t>
      </w:r>
      <w:r w:rsidR="00C2219C" w:rsidRPr="009B4186">
        <w:rPr>
          <w:rFonts w:ascii="Cambria" w:hAnsi="Cambria" w:cs="Calibri-Bold"/>
          <w:bCs/>
        </w:rPr>
        <w:t>(1)</w:t>
      </w:r>
      <w:r w:rsidRPr="009B4186">
        <w:rPr>
          <w:rFonts w:ascii="Cambria" w:hAnsi="Cambria" w:cs="Calibri-Bold"/>
          <w:bCs/>
        </w:rPr>
        <w:t xml:space="preserve">(c) and (d) of </w:t>
      </w:r>
      <w:r w:rsidRPr="009B4186">
        <w:rPr>
          <w:rFonts w:ascii="Cambria" w:hAnsi="Cambria" w:cs="Calibri"/>
        </w:rPr>
        <w:t>the Southern Indian Ocean Fisheries Agreement (the</w:t>
      </w:r>
      <w:r w:rsidR="00C2219C" w:rsidRPr="009B4186">
        <w:rPr>
          <w:rFonts w:ascii="Cambria" w:hAnsi="Cambria" w:cs="Calibri"/>
        </w:rPr>
        <w:t> </w:t>
      </w:r>
      <w:r w:rsidRPr="009B4186">
        <w:rPr>
          <w:rFonts w:ascii="Cambria" w:hAnsi="Cambria" w:cs="Calibri"/>
        </w:rPr>
        <w:t xml:space="preserve">Agreement) call on Contracting Parties, in giving effect to the objectives of the Agreement, to evaluate the impact of fishing on the fishery resources and on the marine environment, taking into account the environmental and oceanographic characteristics of the </w:t>
      </w:r>
      <w:r w:rsidR="004D2EC2" w:rsidRPr="009B4186">
        <w:rPr>
          <w:rFonts w:ascii="Cambria" w:hAnsi="Cambria" w:cs="Calibri"/>
        </w:rPr>
        <w:t xml:space="preserve">SIOFA </w:t>
      </w:r>
      <w:r w:rsidRPr="009B4186">
        <w:rPr>
          <w:rFonts w:ascii="Cambria" w:hAnsi="Cambria" w:cs="Calibri"/>
        </w:rPr>
        <w:t>Area</w:t>
      </w:r>
      <w:r w:rsidR="004D2EC2" w:rsidRPr="009B4186">
        <w:rPr>
          <w:rFonts w:ascii="Cambria" w:hAnsi="Cambria" w:cs="Calibri"/>
        </w:rPr>
        <w:t xml:space="preserve"> of Application (the </w:t>
      </w:r>
      <w:r w:rsidR="0028692D">
        <w:rPr>
          <w:rFonts w:ascii="Cambria" w:hAnsi="Cambria" w:cs="Calibri"/>
        </w:rPr>
        <w:t xml:space="preserve">Agreement </w:t>
      </w:r>
      <w:r w:rsidR="004D2EC2" w:rsidRPr="009B4186">
        <w:rPr>
          <w:rFonts w:ascii="Cambria" w:hAnsi="Cambria" w:cs="Calibri"/>
        </w:rPr>
        <w:t>Area)</w:t>
      </w:r>
      <w:r w:rsidRPr="009B4186">
        <w:rPr>
          <w:rFonts w:ascii="Cambria" w:hAnsi="Cambria" w:cs="Calibri"/>
        </w:rPr>
        <w:t xml:space="preserve"> and to adopt conservation and management measures (CMMs) necessary for ensuring</w:t>
      </w:r>
      <w:r w:rsidRPr="009B4186">
        <w:rPr>
          <w:rFonts w:ascii="Cambria" w:hAnsi="Cambria"/>
        </w:rPr>
        <w:t xml:space="preserve"> the long-term conservation and sustainable use of the fishery resources in the </w:t>
      </w:r>
      <w:r w:rsidR="0028692D">
        <w:rPr>
          <w:rFonts w:ascii="Cambria" w:hAnsi="Cambria"/>
        </w:rPr>
        <w:t xml:space="preserve">Agreement </w:t>
      </w:r>
      <w:r w:rsidRPr="009B4186">
        <w:rPr>
          <w:rFonts w:ascii="Cambria" w:hAnsi="Cambria"/>
        </w:rPr>
        <w:t>Area</w:t>
      </w:r>
      <w:r w:rsidRPr="009B4186">
        <w:rPr>
          <w:rFonts w:ascii="Cambria" w:hAnsi="Cambria" w:cs="Calibri"/>
        </w:rPr>
        <w:t>;</w:t>
      </w:r>
      <w:r w:rsidR="00566B27">
        <w:rPr>
          <w:rFonts w:ascii="Cambria" w:hAnsi="Cambria" w:cs="Calibri"/>
        </w:rPr>
        <w:t xml:space="preserve"> and</w:t>
      </w:r>
    </w:p>
    <w:p w14:paraId="0786BC3E" w14:textId="77777777" w:rsidR="003576DD" w:rsidRPr="009B4186" w:rsidRDefault="003576DD" w:rsidP="003576DD">
      <w:pPr>
        <w:autoSpaceDE w:val="0"/>
        <w:autoSpaceDN w:val="0"/>
        <w:adjustRightInd w:val="0"/>
        <w:spacing w:after="0" w:line="240" w:lineRule="auto"/>
        <w:rPr>
          <w:rFonts w:ascii="Cambria" w:hAnsi="Cambria"/>
        </w:rPr>
      </w:pPr>
    </w:p>
    <w:p w14:paraId="56F03F82" w14:textId="77777777" w:rsidR="003576DD" w:rsidRDefault="003576DD" w:rsidP="003576DD">
      <w:pPr>
        <w:autoSpaceDE w:val="0"/>
        <w:autoSpaceDN w:val="0"/>
        <w:adjustRightInd w:val="0"/>
        <w:spacing w:after="0" w:line="240" w:lineRule="auto"/>
        <w:rPr>
          <w:rFonts w:ascii="Cambria" w:hAnsi="Cambria" w:cs="Calibri"/>
        </w:rPr>
      </w:pPr>
      <w:r w:rsidRPr="009B4186">
        <w:rPr>
          <w:rFonts w:ascii="Cambria" w:hAnsi="Cambria" w:cs="Calibri-Bold"/>
          <w:bCs/>
          <w:i/>
        </w:rPr>
        <w:t>RECOGNISING</w:t>
      </w:r>
      <w:r w:rsidRPr="009B4186">
        <w:rPr>
          <w:rFonts w:ascii="Cambria" w:hAnsi="Cambria"/>
        </w:rPr>
        <w:t xml:space="preserve"> </w:t>
      </w:r>
      <w:r w:rsidR="00C2219C" w:rsidRPr="009B4186">
        <w:rPr>
          <w:rFonts w:ascii="Cambria" w:hAnsi="Cambria"/>
        </w:rPr>
        <w:t>A</w:t>
      </w:r>
      <w:r w:rsidRPr="009B4186">
        <w:rPr>
          <w:rFonts w:ascii="Cambria" w:hAnsi="Cambria"/>
        </w:rPr>
        <w:t>rticle 4(e) of the Agreement which requires Contracting Parties to apply the principle that fishing practices and management measures shall take due account of the need to minimise the harmful impact that fishing activities may have on the marine environment</w:t>
      </w:r>
      <w:r w:rsidRPr="009B4186">
        <w:rPr>
          <w:rFonts w:ascii="Cambria" w:hAnsi="Cambria" w:cs="Calibri"/>
        </w:rPr>
        <w:t>;</w:t>
      </w:r>
    </w:p>
    <w:p w14:paraId="59C145C7" w14:textId="77777777" w:rsidR="00F074FF" w:rsidRDefault="00F074FF" w:rsidP="003576DD">
      <w:pPr>
        <w:autoSpaceDE w:val="0"/>
        <w:autoSpaceDN w:val="0"/>
        <w:adjustRightInd w:val="0"/>
        <w:spacing w:after="0" w:line="240" w:lineRule="auto"/>
        <w:rPr>
          <w:rFonts w:ascii="Cambria" w:hAnsi="Cambria" w:cs="Calibri"/>
        </w:rPr>
      </w:pPr>
    </w:p>
    <w:p w14:paraId="72F2D136" w14:textId="77777777" w:rsidR="003576DD" w:rsidRPr="00566B27" w:rsidRDefault="000446D9" w:rsidP="003576DD">
      <w:pPr>
        <w:autoSpaceDE w:val="0"/>
        <w:autoSpaceDN w:val="0"/>
        <w:adjustRightInd w:val="0"/>
        <w:spacing w:after="0" w:line="240" w:lineRule="auto"/>
        <w:rPr>
          <w:rFonts w:ascii="Cambria" w:hAnsi="Cambria" w:cs="Calibri"/>
          <w:b/>
        </w:rPr>
      </w:pPr>
      <w:r w:rsidRPr="00566B27">
        <w:rPr>
          <w:rFonts w:ascii="Cambria" w:hAnsi="Cambria" w:cs="Calibri-Bold"/>
          <w:b/>
          <w:bCs/>
          <w:i/>
        </w:rPr>
        <w:t>ADOPTS</w:t>
      </w:r>
      <w:r w:rsidRPr="00566B27">
        <w:rPr>
          <w:rFonts w:ascii="Cambria" w:hAnsi="Cambria" w:cs="Calibri"/>
          <w:b/>
        </w:rPr>
        <w:t xml:space="preserve"> the following CMM in accordance with Article 6 of the Agreement:</w:t>
      </w:r>
    </w:p>
    <w:p w14:paraId="6850F109" w14:textId="77777777" w:rsidR="003576DD" w:rsidRPr="009B4186" w:rsidRDefault="003576DD" w:rsidP="003576DD">
      <w:pPr>
        <w:autoSpaceDE w:val="0"/>
        <w:autoSpaceDN w:val="0"/>
        <w:adjustRightInd w:val="0"/>
        <w:spacing w:after="0" w:line="240" w:lineRule="auto"/>
        <w:rPr>
          <w:rFonts w:ascii="Cambria" w:hAnsi="Cambria" w:cs="Calibri"/>
        </w:rPr>
      </w:pPr>
    </w:p>
    <w:p w14:paraId="043BE02F" w14:textId="77777777" w:rsidR="00BC06E1" w:rsidRDefault="003576DD" w:rsidP="003576DD">
      <w:pPr>
        <w:autoSpaceDE w:val="0"/>
        <w:autoSpaceDN w:val="0"/>
        <w:adjustRightInd w:val="0"/>
        <w:spacing w:after="0" w:line="240" w:lineRule="auto"/>
        <w:rPr>
          <w:rFonts w:ascii="Cambria" w:hAnsi="Cambria" w:cs="Calibri"/>
        </w:rPr>
      </w:pPr>
      <w:r w:rsidRPr="009B4186">
        <w:rPr>
          <w:rFonts w:ascii="Cambria" w:hAnsi="Cambria" w:cs="Calibri"/>
        </w:rPr>
        <w:t xml:space="preserve">1. The </w:t>
      </w:r>
      <w:r w:rsidR="001520A6">
        <w:rPr>
          <w:rFonts w:ascii="Cambria" w:hAnsi="Cambria" w:cs="Calibri"/>
        </w:rPr>
        <w:t xml:space="preserve">use </w:t>
      </w:r>
      <w:r w:rsidRPr="009B4186">
        <w:rPr>
          <w:rFonts w:ascii="Cambria" w:hAnsi="Cambria" w:cs="Calibri"/>
        </w:rPr>
        <w:t xml:space="preserve">of </w:t>
      </w:r>
      <w:r w:rsidR="00F65C91" w:rsidRPr="009B4186">
        <w:rPr>
          <w:rFonts w:ascii="Cambria" w:hAnsi="Cambria" w:cs="Calibri"/>
        </w:rPr>
        <w:t xml:space="preserve">all </w:t>
      </w:r>
      <w:r w:rsidRPr="009B4186">
        <w:rPr>
          <w:rFonts w:ascii="Cambria" w:hAnsi="Cambria" w:cs="Calibri"/>
        </w:rPr>
        <w:t>large-scale pelagic driftnets</w:t>
      </w:r>
      <w:r w:rsidRPr="009B4186">
        <w:rPr>
          <w:rStyle w:val="FootnoteReference"/>
          <w:rFonts w:ascii="Cambria" w:hAnsi="Cambria" w:cs="Calibri"/>
        </w:rPr>
        <w:footnoteReference w:id="1"/>
      </w:r>
      <w:r w:rsidR="00343FA3">
        <w:rPr>
          <w:rFonts w:ascii="Cambria" w:hAnsi="Cambria" w:cs="Calibri"/>
        </w:rPr>
        <w:t xml:space="preserve"> in the </w:t>
      </w:r>
      <w:r w:rsidR="0028692D">
        <w:rPr>
          <w:rFonts w:ascii="Cambria" w:hAnsi="Cambria" w:cs="Calibri"/>
        </w:rPr>
        <w:t xml:space="preserve">Agreement </w:t>
      </w:r>
      <w:r w:rsidR="00343FA3">
        <w:rPr>
          <w:rFonts w:ascii="Cambria" w:hAnsi="Cambria" w:cs="Calibri"/>
        </w:rPr>
        <w:t>Area is prohibited</w:t>
      </w:r>
      <w:r w:rsidR="00BE6A41">
        <w:rPr>
          <w:rFonts w:ascii="Cambria" w:hAnsi="Cambria" w:cs="Calibri"/>
        </w:rPr>
        <w:t xml:space="preserve"> for any vessel flying th</w:t>
      </w:r>
      <w:r w:rsidR="0032778D">
        <w:rPr>
          <w:rFonts w:ascii="Cambria" w:hAnsi="Cambria" w:cs="Calibri"/>
        </w:rPr>
        <w:t>e</w:t>
      </w:r>
      <w:r w:rsidR="00BE6A41">
        <w:rPr>
          <w:rFonts w:ascii="Cambria" w:hAnsi="Cambria" w:cs="Calibri"/>
        </w:rPr>
        <w:t xml:space="preserve"> flag of a Contracting Party, cooperating non-Contracting Party</w:t>
      </w:r>
      <w:r w:rsidR="0032778D">
        <w:rPr>
          <w:rFonts w:ascii="Cambria" w:hAnsi="Cambria" w:cs="Calibri"/>
        </w:rPr>
        <w:t xml:space="preserve"> (CNCP)</w:t>
      </w:r>
      <w:r w:rsidR="00BE6A41">
        <w:rPr>
          <w:rFonts w:ascii="Cambria" w:hAnsi="Cambria" w:cs="Calibri"/>
        </w:rPr>
        <w:t xml:space="preserve"> or </w:t>
      </w:r>
      <w:r w:rsidR="0032778D">
        <w:rPr>
          <w:rFonts w:ascii="Cambria" w:hAnsi="Cambria" w:cs="Calibri"/>
        </w:rPr>
        <w:t>p</w:t>
      </w:r>
      <w:r w:rsidR="00BE6A41">
        <w:rPr>
          <w:rFonts w:ascii="Cambria" w:hAnsi="Cambria" w:cs="Calibri"/>
        </w:rPr>
        <w:t xml:space="preserve">articipating </w:t>
      </w:r>
      <w:r w:rsidR="0032778D">
        <w:rPr>
          <w:rFonts w:ascii="Cambria" w:hAnsi="Cambria" w:cs="Calibri"/>
        </w:rPr>
        <w:t>f</w:t>
      </w:r>
      <w:r w:rsidR="00BE6A41">
        <w:rPr>
          <w:rFonts w:ascii="Cambria" w:hAnsi="Cambria" w:cs="Calibri"/>
        </w:rPr>
        <w:t xml:space="preserve">ishing </w:t>
      </w:r>
      <w:r w:rsidR="0032778D">
        <w:rPr>
          <w:rFonts w:ascii="Cambria" w:hAnsi="Cambria" w:cs="Calibri"/>
        </w:rPr>
        <w:t>e</w:t>
      </w:r>
      <w:r w:rsidR="00BE6A41">
        <w:rPr>
          <w:rFonts w:ascii="Cambria" w:hAnsi="Cambria" w:cs="Calibri"/>
        </w:rPr>
        <w:t>ntity</w:t>
      </w:r>
      <w:r w:rsidR="0032778D">
        <w:rPr>
          <w:rFonts w:ascii="Cambria" w:hAnsi="Cambria" w:cs="Calibri"/>
        </w:rPr>
        <w:t xml:space="preserve"> (PFE)</w:t>
      </w:r>
      <w:r w:rsidR="00BC06E1">
        <w:rPr>
          <w:rFonts w:ascii="Cambria" w:hAnsi="Cambria" w:cs="Calibri"/>
        </w:rPr>
        <w:t>.</w:t>
      </w:r>
    </w:p>
    <w:p w14:paraId="08140C7F" w14:textId="77777777" w:rsidR="001711F7" w:rsidRDefault="001711F7" w:rsidP="003576DD">
      <w:pPr>
        <w:autoSpaceDE w:val="0"/>
        <w:autoSpaceDN w:val="0"/>
        <w:adjustRightInd w:val="0"/>
        <w:spacing w:after="0" w:line="240" w:lineRule="auto"/>
        <w:rPr>
          <w:rFonts w:ascii="Cambria" w:hAnsi="Cambria" w:cs="Calibri"/>
        </w:rPr>
      </w:pPr>
    </w:p>
    <w:p w14:paraId="04301811" w14:textId="77777777" w:rsidR="003576DD" w:rsidRPr="009B4186" w:rsidRDefault="00BC06E1" w:rsidP="0032778D">
      <w:pPr>
        <w:autoSpaceDE w:val="0"/>
        <w:autoSpaceDN w:val="0"/>
        <w:adjustRightInd w:val="0"/>
        <w:spacing w:after="0" w:line="240" w:lineRule="auto"/>
        <w:rPr>
          <w:rFonts w:ascii="Cambria" w:hAnsi="Cambria" w:cs="Calibri"/>
        </w:rPr>
      </w:pPr>
      <w:r>
        <w:rPr>
          <w:rFonts w:ascii="Cambria" w:hAnsi="Cambria" w:cs="Calibri"/>
        </w:rPr>
        <w:t xml:space="preserve">2. </w:t>
      </w:r>
      <w:r w:rsidR="006A47DE">
        <w:rPr>
          <w:rFonts w:ascii="Cambria" w:hAnsi="Cambria" w:cs="Calibri"/>
        </w:rPr>
        <w:t xml:space="preserve">Contracting Parties, CNCPs and PFEs recommend that </w:t>
      </w:r>
      <w:proofErr w:type="spellStart"/>
      <w:r w:rsidR="003576DD" w:rsidRPr="009B4186">
        <w:rPr>
          <w:rFonts w:ascii="Cambria" w:hAnsi="Cambria" w:cs="Calibri"/>
        </w:rPr>
        <w:t>deepwater</w:t>
      </w:r>
      <w:proofErr w:type="spellEnd"/>
      <w:r w:rsidR="003576DD" w:rsidRPr="009B4186">
        <w:rPr>
          <w:rFonts w:ascii="Cambria" w:hAnsi="Cambria" w:cs="Calibri"/>
        </w:rPr>
        <w:t xml:space="preserve"> gillnets</w:t>
      </w:r>
      <w:r w:rsidR="003576DD" w:rsidRPr="009B4186">
        <w:rPr>
          <w:rStyle w:val="FootnoteReference"/>
          <w:rFonts w:ascii="Cambria" w:hAnsi="Cambria" w:cs="Calibri"/>
        </w:rPr>
        <w:footnoteReference w:id="2"/>
      </w:r>
      <w:r w:rsidR="003576DD" w:rsidRPr="009B4186">
        <w:rPr>
          <w:rFonts w:ascii="Cambria" w:hAnsi="Cambria" w:cs="Calibri"/>
        </w:rPr>
        <w:t xml:space="preserve"> </w:t>
      </w:r>
      <w:r w:rsidR="006A47DE">
        <w:rPr>
          <w:rFonts w:ascii="Cambria" w:hAnsi="Cambria" w:cs="Calibri"/>
        </w:rPr>
        <w:t xml:space="preserve">not be used </w:t>
      </w:r>
      <w:r w:rsidR="003576DD" w:rsidRPr="009B4186">
        <w:rPr>
          <w:rFonts w:ascii="Cambria" w:hAnsi="Cambria" w:cs="Calibri"/>
        </w:rPr>
        <w:t xml:space="preserve">in the </w:t>
      </w:r>
      <w:r w:rsidR="0028692D">
        <w:rPr>
          <w:rFonts w:ascii="Cambria" w:hAnsi="Cambria" w:cs="Calibri"/>
        </w:rPr>
        <w:t xml:space="preserve">Agreement </w:t>
      </w:r>
      <w:r w:rsidR="003576DD" w:rsidRPr="009B4186">
        <w:rPr>
          <w:rFonts w:ascii="Cambria" w:hAnsi="Cambria" w:cs="Calibri"/>
        </w:rPr>
        <w:t>Area</w:t>
      </w:r>
      <w:r w:rsidR="004D2EC2" w:rsidRPr="009B4186">
        <w:rPr>
          <w:rFonts w:ascii="Cambria" w:hAnsi="Cambria" w:cs="Calibri"/>
        </w:rPr>
        <w:t xml:space="preserve"> </w:t>
      </w:r>
      <w:r w:rsidR="0088016C">
        <w:rPr>
          <w:rFonts w:ascii="Cambria" w:hAnsi="Cambria" w:cs="Calibri"/>
        </w:rPr>
        <w:t xml:space="preserve">by </w:t>
      </w:r>
      <w:r w:rsidR="00BE6A41">
        <w:rPr>
          <w:rFonts w:ascii="Cambria" w:hAnsi="Cambria" w:cs="Calibri"/>
        </w:rPr>
        <w:t>any vessel flying th</w:t>
      </w:r>
      <w:r w:rsidR="0032778D">
        <w:rPr>
          <w:rFonts w:ascii="Cambria" w:hAnsi="Cambria" w:cs="Calibri"/>
        </w:rPr>
        <w:t>e</w:t>
      </w:r>
      <w:r w:rsidR="00BE6A41">
        <w:rPr>
          <w:rFonts w:ascii="Cambria" w:hAnsi="Cambria" w:cs="Calibri"/>
        </w:rPr>
        <w:t xml:space="preserve"> flag of a Contracting Party, </w:t>
      </w:r>
      <w:r w:rsidR="0032778D">
        <w:rPr>
          <w:rFonts w:ascii="Cambria" w:hAnsi="Cambria" w:cs="Calibri"/>
        </w:rPr>
        <w:t xml:space="preserve">CNCP </w:t>
      </w:r>
      <w:r w:rsidR="00BE6A41">
        <w:rPr>
          <w:rFonts w:ascii="Cambria" w:hAnsi="Cambria" w:cs="Calibri"/>
        </w:rPr>
        <w:t xml:space="preserve">or </w:t>
      </w:r>
      <w:r w:rsidR="0032778D">
        <w:rPr>
          <w:rFonts w:ascii="Cambria" w:hAnsi="Cambria" w:cs="Calibri"/>
        </w:rPr>
        <w:t xml:space="preserve">PFE </w:t>
      </w:r>
      <w:proofErr w:type="gramStart"/>
      <w:r w:rsidR="00C3603D" w:rsidRPr="009B4186">
        <w:rPr>
          <w:rFonts w:ascii="Cambria" w:hAnsi="Cambria" w:cs="Calibri"/>
        </w:rPr>
        <w:t>until such time as</w:t>
      </w:r>
      <w:proofErr w:type="gramEnd"/>
      <w:r>
        <w:rPr>
          <w:rFonts w:ascii="Cambria" w:hAnsi="Cambria" w:cs="Calibri"/>
        </w:rPr>
        <w:t xml:space="preserve"> </w:t>
      </w:r>
      <w:r w:rsidR="00C3603D" w:rsidRPr="009B4186">
        <w:rPr>
          <w:rFonts w:ascii="Cambria" w:hAnsi="Cambria" w:cs="Calibri"/>
        </w:rPr>
        <w:t xml:space="preserve">the Meeting of the Parties has </w:t>
      </w:r>
      <w:r w:rsidR="0088016C">
        <w:rPr>
          <w:rFonts w:ascii="Cambria" w:hAnsi="Cambria" w:cs="Calibri"/>
        </w:rPr>
        <w:t xml:space="preserve">received a recommendation </w:t>
      </w:r>
      <w:r w:rsidR="00C3603D" w:rsidRPr="009B4186">
        <w:rPr>
          <w:rFonts w:ascii="Cambria" w:hAnsi="Cambria" w:cs="Calibri"/>
        </w:rPr>
        <w:t>from the Scientific Committee</w:t>
      </w:r>
      <w:r w:rsidR="00566B27">
        <w:rPr>
          <w:rFonts w:ascii="Cambria" w:hAnsi="Cambria" w:cs="Calibri"/>
        </w:rPr>
        <w:t>.</w:t>
      </w:r>
    </w:p>
    <w:p w14:paraId="4417F2EE" w14:textId="77777777" w:rsidR="003576DD" w:rsidRPr="009B4186" w:rsidRDefault="003576DD" w:rsidP="003576DD">
      <w:pPr>
        <w:autoSpaceDE w:val="0"/>
        <w:autoSpaceDN w:val="0"/>
        <w:adjustRightInd w:val="0"/>
        <w:spacing w:after="0" w:line="240" w:lineRule="auto"/>
        <w:rPr>
          <w:rFonts w:ascii="Cambria" w:hAnsi="Cambria" w:cs="Calibri"/>
        </w:rPr>
      </w:pPr>
      <w:bookmarkStart w:id="0" w:name="_GoBack"/>
      <w:bookmarkEnd w:id="0"/>
    </w:p>
    <w:p w14:paraId="65CF7B7C" w14:textId="77777777" w:rsidR="003576DD" w:rsidRPr="009B4186" w:rsidRDefault="00BC06E1" w:rsidP="003576DD">
      <w:pPr>
        <w:autoSpaceDE w:val="0"/>
        <w:autoSpaceDN w:val="0"/>
        <w:adjustRightInd w:val="0"/>
        <w:spacing w:after="0" w:line="240" w:lineRule="auto"/>
        <w:rPr>
          <w:rFonts w:ascii="Cambria" w:hAnsi="Cambria" w:cs="Calibri"/>
        </w:rPr>
      </w:pPr>
      <w:r>
        <w:rPr>
          <w:rFonts w:ascii="Cambria" w:hAnsi="Cambria" w:cs="Calibri"/>
        </w:rPr>
        <w:lastRenderedPageBreak/>
        <w:t>3</w:t>
      </w:r>
      <w:r w:rsidR="003576DD" w:rsidRPr="009B4186">
        <w:rPr>
          <w:rFonts w:ascii="Cambria" w:hAnsi="Cambria" w:cs="Calibri"/>
        </w:rPr>
        <w:t xml:space="preserve">. Nothing in this measure shall prevent Contracting Parties, CNCPs or PFEs from applying more stringent measures to </w:t>
      </w:r>
      <w:r w:rsidR="001520A6">
        <w:rPr>
          <w:rFonts w:ascii="Cambria" w:hAnsi="Cambria" w:cs="Calibri"/>
        </w:rPr>
        <w:t xml:space="preserve">large-scale </w:t>
      </w:r>
      <w:r w:rsidR="003576DD" w:rsidRPr="009B4186">
        <w:rPr>
          <w:rFonts w:ascii="Cambria" w:hAnsi="Cambria" w:cs="Calibri"/>
        </w:rPr>
        <w:t>pelagic driftnets</w:t>
      </w:r>
      <w:r w:rsidR="002916E0">
        <w:rPr>
          <w:rFonts w:ascii="Cambria" w:hAnsi="Cambria" w:cs="Calibri"/>
        </w:rPr>
        <w:t xml:space="preserve"> </w:t>
      </w:r>
      <w:r w:rsidR="001520A6">
        <w:rPr>
          <w:rFonts w:ascii="Cambria" w:hAnsi="Cambria" w:cs="Calibri"/>
        </w:rPr>
        <w:t>not covered by this CMM,</w:t>
      </w:r>
      <w:r w:rsidR="003576DD" w:rsidRPr="009B4186">
        <w:rPr>
          <w:rFonts w:ascii="Cambria" w:hAnsi="Cambria" w:cs="Calibri"/>
        </w:rPr>
        <w:t xml:space="preserve"> or </w:t>
      </w:r>
      <w:r w:rsidR="001520A6">
        <w:rPr>
          <w:rFonts w:ascii="Cambria" w:hAnsi="Cambria" w:cs="Calibri"/>
        </w:rPr>
        <w:t xml:space="preserve">to </w:t>
      </w:r>
      <w:proofErr w:type="spellStart"/>
      <w:r w:rsidR="003576DD" w:rsidRPr="009B4186">
        <w:rPr>
          <w:rFonts w:ascii="Cambria" w:hAnsi="Cambria" w:cs="Calibri"/>
        </w:rPr>
        <w:t>deepwater</w:t>
      </w:r>
      <w:proofErr w:type="spellEnd"/>
      <w:r w:rsidR="003576DD" w:rsidRPr="009B4186">
        <w:rPr>
          <w:rFonts w:ascii="Cambria" w:hAnsi="Cambria" w:cs="Calibri"/>
        </w:rPr>
        <w:t xml:space="preserve"> gillnets</w:t>
      </w:r>
      <w:r w:rsidR="001520A6">
        <w:rPr>
          <w:rFonts w:ascii="Cambria" w:hAnsi="Cambria" w:cs="Calibri"/>
        </w:rPr>
        <w:t>.</w:t>
      </w:r>
    </w:p>
    <w:p w14:paraId="63C13AE2" w14:textId="77777777" w:rsidR="003576DD" w:rsidRPr="009B4186" w:rsidRDefault="003576DD" w:rsidP="003576DD">
      <w:pPr>
        <w:autoSpaceDE w:val="0"/>
        <w:autoSpaceDN w:val="0"/>
        <w:adjustRightInd w:val="0"/>
        <w:spacing w:after="0" w:line="240" w:lineRule="auto"/>
        <w:rPr>
          <w:rFonts w:ascii="Cambria" w:hAnsi="Cambria" w:cs="Calibri"/>
        </w:rPr>
      </w:pPr>
    </w:p>
    <w:p w14:paraId="06FCCD17" w14:textId="24695D52" w:rsidR="003576DD" w:rsidRDefault="002916E0" w:rsidP="003576DD">
      <w:pPr>
        <w:autoSpaceDE w:val="0"/>
        <w:autoSpaceDN w:val="0"/>
        <w:adjustRightInd w:val="0"/>
        <w:spacing w:after="0" w:line="240" w:lineRule="auto"/>
        <w:rPr>
          <w:rFonts w:ascii="Cambria" w:hAnsi="Cambria" w:cs="Calibri"/>
        </w:rPr>
      </w:pPr>
      <w:r>
        <w:rPr>
          <w:rFonts w:ascii="Cambria" w:hAnsi="Cambria" w:cs="Calibri"/>
        </w:rPr>
        <w:t>4</w:t>
      </w:r>
      <w:r w:rsidR="003576DD" w:rsidRPr="009B4186">
        <w:rPr>
          <w:rFonts w:ascii="Cambria" w:hAnsi="Cambria" w:cs="Calibri"/>
        </w:rPr>
        <w:t xml:space="preserve">. Until a Compliance Monitoring Scheme is adopted by the Meeting of the Parties, each Contracting Party, CNCP and PFE shall provide a report on its implementation of this CMM to the </w:t>
      </w:r>
      <w:r w:rsidR="0088016C">
        <w:rPr>
          <w:rFonts w:ascii="Cambria" w:hAnsi="Cambria" w:cs="Calibri"/>
        </w:rPr>
        <w:t xml:space="preserve">ordinary </w:t>
      </w:r>
      <w:r w:rsidR="003576DD" w:rsidRPr="009B4186">
        <w:rPr>
          <w:rFonts w:ascii="Cambria" w:hAnsi="Cambria" w:cs="Calibri"/>
        </w:rPr>
        <w:t xml:space="preserve">Compliance Committee meeting in 2017. </w:t>
      </w:r>
      <w:proofErr w:type="gramStart"/>
      <w:r w:rsidR="003576DD" w:rsidRPr="009B4186">
        <w:rPr>
          <w:rFonts w:ascii="Cambria" w:hAnsi="Cambria" w:cs="Calibri"/>
        </w:rPr>
        <w:t>In the event that</w:t>
      </w:r>
      <w:proofErr w:type="gramEnd"/>
      <w:r w:rsidR="003576DD" w:rsidRPr="009B4186">
        <w:rPr>
          <w:rFonts w:ascii="Cambria" w:hAnsi="Cambria" w:cs="Calibri"/>
        </w:rPr>
        <w:t xml:space="preserve"> the Compliance Committee does not meet in 2017, implementation reports shall be provided to the 2017 ordinary Meeting of the Parties. In the case of </w:t>
      </w:r>
      <w:r w:rsidR="007E4E0E">
        <w:rPr>
          <w:rFonts w:ascii="Cambria" w:hAnsi="Cambria" w:cs="Calibri"/>
        </w:rPr>
        <w:t xml:space="preserve">a </w:t>
      </w:r>
      <w:r w:rsidR="003576DD" w:rsidRPr="009B4186">
        <w:rPr>
          <w:rFonts w:ascii="Cambria" w:hAnsi="Cambria" w:cs="Calibri"/>
        </w:rPr>
        <w:t>State</w:t>
      </w:r>
      <w:r w:rsidR="007E4E0E">
        <w:rPr>
          <w:rFonts w:ascii="Cambria" w:hAnsi="Cambria" w:cs="Calibri"/>
        </w:rPr>
        <w:t xml:space="preserve"> or fishing entity that becomes a Contracting Party, CNCP or PFE after this CMM enters into force, </w:t>
      </w:r>
      <w:r w:rsidR="003576DD" w:rsidRPr="009B4186">
        <w:rPr>
          <w:rFonts w:ascii="Cambria" w:hAnsi="Cambria" w:cs="Calibri"/>
        </w:rPr>
        <w:t>implementation reports shall be provided to the first Compliance Committee meeting after the Agreement enters into force for that State</w:t>
      </w:r>
      <w:r w:rsidR="007E4E0E">
        <w:rPr>
          <w:rFonts w:ascii="Cambria" w:hAnsi="Cambria" w:cs="Calibri"/>
        </w:rPr>
        <w:t xml:space="preserve"> or </w:t>
      </w:r>
      <w:r w:rsidR="003576DD" w:rsidRPr="009B4186">
        <w:rPr>
          <w:rFonts w:ascii="Cambria" w:hAnsi="Cambria" w:cs="Calibri"/>
        </w:rPr>
        <w:t>their CNCP status or PFE status becomes effective.</w:t>
      </w:r>
    </w:p>
    <w:p w14:paraId="2B54AECB" w14:textId="77777777" w:rsidR="00F074FF" w:rsidRDefault="00F074FF" w:rsidP="003576DD">
      <w:pPr>
        <w:autoSpaceDE w:val="0"/>
        <w:autoSpaceDN w:val="0"/>
        <w:adjustRightInd w:val="0"/>
        <w:spacing w:after="0" w:line="240" w:lineRule="auto"/>
        <w:rPr>
          <w:rFonts w:ascii="Cambria" w:hAnsi="Cambria" w:cs="Calibri"/>
        </w:rPr>
      </w:pPr>
    </w:p>
    <w:p w14:paraId="6AC26781" w14:textId="77777777" w:rsidR="00F074FF" w:rsidRPr="009B4186" w:rsidRDefault="00F074FF" w:rsidP="003576DD">
      <w:pPr>
        <w:autoSpaceDE w:val="0"/>
        <w:autoSpaceDN w:val="0"/>
        <w:adjustRightInd w:val="0"/>
        <w:spacing w:after="0" w:line="240" w:lineRule="auto"/>
        <w:rPr>
          <w:rFonts w:ascii="Cambria" w:hAnsi="Cambria" w:cs="Calibri"/>
        </w:rPr>
      </w:pPr>
    </w:p>
    <w:p w14:paraId="3F099DD3" w14:textId="77777777" w:rsidR="003576DD" w:rsidRDefault="003576DD" w:rsidP="003576DD">
      <w:pPr>
        <w:autoSpaceDE w:val="0"/>
        <w:autoSpaceDN w:val="0"/>
        <w:adjustRightInd w:val="0"/>
        <w:spacing w:after="0" w:line="240" w:lineRule="auto"/>
        <w:rPr>
          <w:rFonts w:ascii="Calibri" w:hAnsi="Calibri" w:cs="Calibri"/>
        </w:rPr>
      </w:pPr>
    </w:p>
    <w:p w14:paraId="6EF878F2" w14:textId="77777777" w:rsidR="003576DD" w:rsidRDefault="003576DD" w:rsidP="003576DD">
      <w:pPr>
        <w:autoSpaceDE w:val="0"/>
        <w:autoSpaceDN w:val="0"/>
        <w:adjustRightInd w:val="0"/>
        <w:spacing w:after="0" w:line="240" w:lineRule="auto"/>
        <w:rPr>
          <w:rFonts w:ascii="Calibri" w:hAnsi="Calibri" w:cs="Calibri"/>
        </w:rPr>
      </w:pPr>
    </w:p>
    <w:p w14:paraId="4D44DF30" w14:textId="77777777" w:rsidR="003576DD" w:rsidRDefault="003576DD" w:rsidP="003576DD">
      <w:pPr>
        <w:autoSpaceDE w:val="0"/>
        <w:autoSpaceDN w:val="0"/>
        <w:adjustRightInd w:val="0"/>
        <w:spacing w:after="0" w:line="240" w:lineRule="auto"/>
        <w:rPr>
          <w:rFonts w:ascii="Calibri" w:hAnsi="Calibri" w:cs="Calibri"/>
        </w:rPr>
      </w:pPr>
    </w:p>
    <w:p w14:paraId="66331744" w14:textId="77777777" w:rsidR="003576DD" w:rsidRPr="00E95138" w:rsidRDefault="003576DD" w:rsidP="003576DD">
      <w:pPr>
        <w:autoSpaceDE w:val="0"/>
        <w:autoSpaceDN w:val="0"/>
        <w:adjustRightInd w:val="0"/>
        <w:spacing w:after="0" w:line="240" w:lineRule="auto"/>
        <w:rPr>
          <w:rFonts w:ascii="Calibri" w:hAnsi="Calibri" w:cs="Calibri"/>
        </w:rPr>
      </w:pPr>
    </w:p>
    <w:p w14:paraId="51107BF2" w14:textId="77777777" w:rsidR="0051754F" w:rsidRDefault="0051754F" w:rsidP="00781511">
      <w:pPr>
        <w:rPr>
          <w:rFonts w:asciiTheme="majorHAnsi" w:eastAsiaTheme="majorEastAsia" w:hAnsiTheme="majorHAnsi" w:cstheme="majorBidi"/>
          <w:b/>
          <w:bCs/>
          <w:color w:val="44546A" w:themeColor="text2"/>
          <w:szCs w:val="26"/>
        </w:rPr>
      </w:pPr>
    </w:p>
    <w:sectPr w:rsidR="0051754F" w:rsidSect="000C5675">
      <w:headerReference w:type="default" r:id="rId8"/>
      <w:footerReference w:type="default" r:id="rId9"/>
      <w:footnotePr>
        <w:numRestart w:val="eachSect"/>
      </w:foot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09BFB" w14:textId="77777777" w:rsidR="00E86466" w:rsidRDefault="00E86466" w:rsidP="00B77F9A">
      <w:pPr>
        <w:spacing w:after="0" w:line="240" w:lineRule="auto"/>
      </w:pPr>
      <w:r>
        <w:separator/>
      </w:r>
    </w:p>
  </w:endnote>
  <w:endnote w:type="continuationSeparator" w:id="0">
    <w:p w14:paraId="02F20D8B" w14:textId="77777777" w:rsidR="00E86466" w:rsidRDefault="00E86466" w:rsidP="00B7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80772"/>
      <w:docPartObj>
        <w:docPartGallery w:val="Page Numbers (Bottom of Page)"/>
        <w:docPartUnique/>
      </w:docPartObj>
    </w:sdtPr>
    <w:sdtEndPr>
      <w:rPr>
        <w:noProof/>
      </w:rPr>
    </w:sdtEndPr>
    <w:sdtContent>
      <w:p w14:paraId="4B396900" w14:textId="54F88991" w:rsidR="005C4511" w:rsidRDefault="005C4511">
        <w:pPr>
          <w:pStyle w:val="Footer"/>
          <w:jc w:val="right"/>
        </w:pPr>
        <w:r>
          <w:fldChar w:fldCharType="begin"/>
        </w:r>
        <w:r>
          <w:instrText xml:space="preserve"> PAGE   \* MERGEFORMAT </w:instrText>
        </w:r>
        <w:r>
          <w:fldChar w:fldCharType="separate"/>
        </w:r>
        <w:r w:rsidR="001C3F2E">
          <w:rPr>
            <w:noProof/>
          </w:rPr>
          <w:t>101</w:t>
        </w:r>
        <w:r>
          <w:rPr>
            <w:noProof/>
          </w:rPr>
          <w:fldChar w:fldCharType="end"/>
        </w:r>
      </w:p>
    </w:sdtContent>
  </w:sdt>
  <w:p w14:paraId="28D3EF96" w14:textId="77777777" w:rsidR="005C4511" w:rsidRDefault="005C4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37D6E" w14:textId="77777777" w:rsidR="00E86466" w:rsidRDefault="00E86466" w:rsidP="00B77F9A">
      <w:pPr>
        <w:spacing w:after="0" w:line="240" w:lineRule="auto"/>
      </w:pPr>
      <w:r>
        <w:separator/>
      </w:r>
    </w:p>
  </w:footnote>
  <w:footnote w:type="continuationSeparator" w:id="0">
    <w:p w14:paraId="58C0912E" w14:textId="77777777" w:rsidR="00E86466" w:rsidRDefault="00E86466" w:rsidP="00B77F9A">
      <w:pPr>
        <w:spacing w:after="0" w:line="240" w:lineRule="auto"/>
      </w:pPr>
      <w:r>
        <w:continuationSeparator/>
      </w:r>
    </w:p>
  </w:footnote>
  <w:footnote w:id="1">
    <w:p w14:paraId="2CA7AE51" w14:textId="77777777" w:rsidR="00C75E59" w:rsidRDefault="00C75E59" w:rsidP="003576DD">
      <w:pPr>
        <w:autoSpaceDE w:val="0"/>
        <w:autoSpaceDN w:val="0"/>
        <w:adjustRightInd w:val="0"/>
        <w:spacing w:after="0" w:line="240" w:lineRule="auto"/>
        <w:rPr>
          <w:rFonts w:ascii="Calibri" w:hAnsi="Calibri" w:cs="Calibri"/>
          <w:sz w:val="18"/>
          <w:szCs w:val="18"/>
        </w:rPr>
      </w:pPr>
      <w:r>
        <w:rPr>
          <w:rStyle w:val="FootnoteReference"/>
        </w:rPr>
        <w:footnoteRef/>
      </w:r>
      <w:r>
        <w:t xml:space="preserve"> </w:t>
      </w:r>
      <w:r>
        <w:rPr>
          <w:rFonts w:ascii="Calibri" w:hAnsi="Calibri" w:cs="Calibri"/>
          <w:sz w:val="20"/>
          <w:szCs w:val="20"/>
        </w:rPr>
        <w:t>‘</w:t>
      </w:r>
      <w:r>
        <w:rPr>
          <w:rFonts w:ascii="Calibri" w:hAnsi="Calibri" w:cs="Calibri"/>
          <w:sz w:val="18"/>
          <w:szCs w:val="18"/>
        </w:rPr>
        <w:t>Large‐scale pelagic driftnets’ (drift gillnets) are defined as a gillnet or other net or a combination of nets which is more</w:t>
      </w:r>
    </w:p>
    <w:p w14:paraId="37D7348A" w14:textId="77777777" w:rsidR="00C75E59" w:rsidRDefault="00C75E59" w:rsidP="003576DD">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than 2.5 kilometres in length the purpose of which is to enmesh, entrap or entangle fish by drifting on the surface or in the</w:t>
      </w:r>
    </w:p>
    <w:p w14:paraId="5607672D" w14:textId="77777777" w:rsidR="00C75E59" w:rsidRPr="00BA14A6" w:rsidRDefault="00C75E59" w:rsidP="003576DD">
      <w:pPr>
        <w:pStyle w:val="FootnoteText"/>
        <w:rPr>
          <w:lang w:val="en-AU"/>
        </w:rPr>
      </w:pPr>
      <w:r>
        <w:rPr>
          <w:rFonts w:ascii="Calibri" w:hAnsi="Calibri" w:cs="Calibri"/>
          <w:sz w:val="18"/>
          <w:szCs w:val="18"/>
          <w:lang w:val="en-AU"/>
        </w:rPr>
        <w:t>water.</w:t>
      </w:r>
    </w:p>
  </w:footnote>
  <w:footnote w:id="2">
    <w:p w14:paraId="750E0967" w14:textId="77777777" w:rsidR="00C75E59" w:rsidRDefault="00C75E59" w:rsidP="003576DD">
      <w:pPr>
        <w:autoSpaceDE w:val="0"/>
        <w:autoSpaceDN w:val="0"/>
        <w:adjustRightInd w:val="0"/>
        <w:spacing w:after="0" w:line="240" w:lineRule="auto"/>
        <w:rPr>
          <w:rFonts w:ascii="Calibri" w:hAnsi="Calibri" w:cs="Calibri"/>
          <w:sz w:val="18"/>
          <w:szCs w:val="18"/>
        </w:rPr>
      </w:pPr>
      <w:r>
        <w:rPr>
          <w:rStyle w:val="FootnoteReference"/>
        </w:rPr>
        <w:footnoteRef/>
      </w:r>
      <w:r>
        <w:t xml:space="preserve"> </w:t>
      </w:r>
      <w:r>
        <w:rPr>
          <w:rFonts w:ascii="Calibri" w:hAnsi="Calibri" w:cs="Calibri"/>
          <w:sz w:val="18"/>
          <w:szCs w:val="18"/>
        </w:rPr>
        <w:t xml:space="preserve">‘Deepwater </w:t>
      </w:r>
      <w:proofErr w:type="spellStart"/>
      <w:r>
        <w:rPr>
          <w:rFonts w:ascii="Calibri" w:hAnsi="Calibri" w:cs="Calibri"/>
          <w:sz w:val="18"/>
          <w:szCs w:val="18"/>
        </w:rPr>
        <w:t>gillnets’</w:t>
      </w:r>
      <w:proofErr w:type="spellEnd"/>
      <w:r>
        <w:rPr>
          <w:rFonts w:ascii="Calibri" w:hAnsi="Calibri" w:cs="Calibri"/>
          <w:sz w:val="18"/>
          <w:szCs w:val="18"/>
        </w:rPr>
        <w:t xml:space="preserve"> (trammel net, set nets, anchored nets, sink nets) are defined as strings of single, double or triple</w:t>
      </w:r>
    </w:p>
    <w:p w14:paraId="368BAF60" w14:textId="77777777" w:rsidR="00C75E59" w:rsidRPr="00BA14A6" w:rsidRDefault="00C75E59" w:rsidP="0032778D">
      <w:pPr>
        <w:autoSpaceDE w:val="0"/>
        <w:autoSpaceDN w:val="0"/>
        <w:adjustRightInd w:val="0"/>
        <w:spacing w:after="0" w:line="240" w:lineRule="auto"/>
      </w:pPr>
      <w:r>
        <w:rPr>
          <w:rFonts w:ascii="Calibri" w:hAnsi="Calibri" w:cs="Calibri"/>
          <w:sz w:val="18"/>
          <w:szCs w:val="18"/>
        </w:rPr>
        <w:t>netting walls, held vertically, usually on or near the seafloor, in which fish will gill, entangle or enmesh. Several types of nets may be combined in one gear. These nets can be used either alone or, as is more usual, in large numbers placed in line (‘fleets’ of nets). The gear can be set, anchored to the bottom or left drifting, free or connected with the vessel.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BCBC" w14:textId="6122D357" w:rsidR="00E414ED" w:rsidRPr="00234551" w:rsidRDefault="00B90821">
    <w:pPr>
      <w:pStyle w:val="Header"/>
      <w:rPr>
        <w:b/>
      </w:rPr>
    </w:pPr>
    <w:r w:rsidRPr="00234551">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FCF"/>
    <w:multiLevelType w:val="hybridMultilevel"/>
    <w:tmpl w:val="669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03B2"/>
    <w:multiLevelType w:val="hybridMultilevel"/>
    <w:tmpl w:val="0260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40116"/>
    <w:multiLevelType w:val="hybridMultilevel"/>
    <w:tmpl w:val="ABB8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40471"/>
    <w:multiLevelType w:val="hybridMultilevel"/>
    <w:tmpl w:val="4FDAF2E6"/>
    <w:lvl w:ilvl="0" w:tplc="E16A580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FA83A73"/>
    <w:multiLevelType w:val="hybridMultilevel"/>
    <w:tmpl w:val="5546B1BE"/>
    <w:lvl w:ilvl="0" w:tplc="3D2417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A4C2835"/>
    <w:multiLevelType w:val="hybridMultilevel"/>
    <w:tmpl w:val="4AA40D04"/>
    <w:lvl w:ilvl="0" w:tplc="FAD8F57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46962CDA"/>
    <w:multiLevelType w:val="hybridMultilevel"/>
    <w:tmpl w:val="EE48EB0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13C0893"/>
    <w:multiLevelType w:val="hybridMultilevel"/>
    <w:tmpl w:val="E2B871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4788787e-0b49-4414-9086-a636cd374c09"/>
  </w:docVars>
  <w:rsids>
    <w:rsidRoot w:val="00B77F9A"/>
    <w:rsid w:val="00014F3E"/>
    <w:rsid w:val="00020733"/>
    <w:rsid w:val="00040004"/>
    <w:rsid w:val="000446D9"/>
    <w:rsid w:val="0004475D"/>
    <w:rsid w:val="00065F50"/>
    <w:rsid w:val="00081234"/>
    <w:rsid w:val="000C1348"/>
    <w:rsid w:val="000C4A30"/>
    <w:rsid w:val="000C5675"/>
    <w:rsid w:val="000E36A5"/>
    <w:rsid w:val="00106546"/>
    <w:rsid w:val="0012455F"/>
    <w:rsid w:val="0014137C"/>
    <w:rsid w:val="001520A6"/>
    <w:rsid w:val="001579DF"/>
    <w:rsid w:val="001711F7"/>
    <w:rsid w:val="001734CE"/>
    <w:rsid w:val="001944EB"/>
    <w:rsid w:val="001C3F2E"/>
    <w:rsid w:val="00230392"/>
    <w:rsid w:val="00234551"/>
    <w:rsid w:val="00240F88"/>
    <w:rsid w:val="0025702D"/>
    <w:rsid w:val="00265C8E"/>
    <w:rsid w:val="0028692D"/>
    <w:rsid w:val="002916E0"/>
    <w:rsid w:val="0029471C"/>
    <w:rsid w:val="002E7F59"/>
    <w:rsid w:val="003131A0"/>
    <w:rsid w:val="0032778D"/>
    <w:rsid w:val="00331853"/>
    <w:rsid w:val="003319E0"/>
    <w:rsid w:val="00340B2F"/>
    <w:rsid w:val="00343FA3"/>
    <w:rsid w:val="003576DD"/>
    <w:rsid w:val="00370DA6"/>
    <w:rsid w:val="00397119"/>
    <w:rsid w:val="003A3B32"/>
    <w:rsid w:val="003D63EB"/>
    <w:rsid w:val="003F52D2"/>
    <w:rsid w:val="00432C48"/>
    <w:rsid w:val="00433CC3"/>
    <w:rsid w:val="00495F0C"/>
    <w:rsid w:val="004C7461"/>
    <w:rsid w:val="004D2EC2"/>
    <w:rsid w:val="0051754F"/>
    <w:rsid w:val="00566B27"/>
    <w:rsid w:val="005C4511"/>
    <w:rsid w:val="005D406D"/>
    <w:rsid w:val="005E4777"/>
    <w:rsid w:val="00604BDB"/>
    <w:rsid w:val="00640C23"/>
    <w:rsid w:val="006A47DE"/>
    <w:rsid w:val="006B6B2E"/>
    <w:rsid w:val="006B71BC"/>
    <w:rsid w:val="007327C7"/>
    <w:rsid w:val="00756DBA"/>
    <w:rsid w:val="00771981"/>
    <w:rsid w:val="00781511"/>
    <w:rsid w:val="007A43DA"/>
    <w:rsid w:val="007E4E0E"/>
    <w:rsid w:val="007F70DB"/>
    <w:rsid w:val="00820B86"/>
    <w:rsid w:val="008257B5"/>
    <w:rsid w:val="0085057F"/>
    <w:rsid w:val="00856F1D"/>
    <w:rsid w:val="00867C4A"/>
    <w:rsid w:val="0088016C"/>
    <w:rsid w:val="008D1DB5"/>
    <w:rsid w:val="008D23BF"/>
    <w:rsid w:val="00901F11"/>
    <w:rsid w:val="009042B2"/>
    <w:rsid w:val="0095030C"/>
    <w:rsid w:val="00980484"/>
    <w:rsid w:val="009B4186"/>
    <w:rsid w:val="009F2A6C"/>
    <w:rsid w:val="00A325EB"/>
    <w:rsid w:val="00A91189"/>
    <w:rsid w:val="00AD3FE8"/>
    <w:rsid w:val="00B00937"/>
    <w:rsid w:val="00B37161"/>
    <w:rsid w:val="00B54F31"/>
    <w:rsid w:val="00B65649"/>
    <w:rsid w:val="00B758C3"/>
    <w:rsid w:val="00B77F9A"/>
    <w:rsid w:val="00B84006"/>
    <w:rsid w:val="00B90821"/>
    <w:rsid w:val="00B97035"/>
    <w:rsid w:val="00B97869"/>
    <w:rsid w:val="00BB1C0F"/>
    <w:rsid w:val="00BB50DD"/>
    <w:rsid w:val="00BC06E1"/>
    <w:rsid w:val="00BE6A41"/>
    <w:rsid w:val="00BF0B9F"/>
    <w:rsid w:val="00C2219C"/>
    <w:rsid w:val="00C27201"/>
    <w:rsid w:val="00C31B7F"/>
    <w:rsid w:val="00C3603D"/>
    <w:rsid w:val="00C564BD"/>
    <w:rsid w:val="00C75E59"/>
    <w:rsid w:val="00C800F1"/>
    <w:rsid w:val="00CC4B19"/>
    <w:rsid w:val="00CF29AE"/>
    <w:rsid w:val="00D16923"/>
    <w:rsid w:val="00D32E99"/>
    <w:rsid w:val="00D72849"/>
    <w:rsid w:val="00DB1232"/>
    <w:rsid w:val="00DB1662"/>
    <w:rsid w:val="00DC7DE6"/>
    <w:rsid w:val="00DF71ED"/>
    <w:rsid w:val="00E149D6"/>
    <w:rsid w:val="00E307DB"/>
    <w:rsid w:val="00E414ED"/>
    <w:rsid w:val="00E705F6"/>
    <w:rsid w:val="00E717EB"/>
    <w:rsid w:val="00E86466"/>
    <w:rsid w:val="00E87242"/>
    <w:rsid w:val="00EB2B9C"/>
    <w:rsid w:val="00EF3AAD"/>
    <w:rsid w:val="00EF49C5"/>
    <w:rsid w:val="00F074FF"/>
    <w:rsid w:val="00F14A28"/>
    <w:rsid w:val="00F314BC"/>
    <w:rsid w:val="00F65C91"/>
    <w:rsid w:val="00F86B0B"/>
    <w:rsid w:val="00F95D32"/>
    <w:rsid w:val="00FE2F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97667"/>
  <w15:docId w15:val="{EC05E86A-E5EC-4AB1-8DF5-6695417D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F9A"/>
    <w:pPr>
      <w:spacing w:after="200" w:line="276" w:lineRule="auto"/>
    </w:pPr>
  </w:style>
  <w:style w:type="paragraph" w:styleId="Heading2">
    <w:name w:val="heading 2"/>
    <w:basedOn w:val="Normal"/>
    <w:next w:val="Normal"/>
    <w:link w:val="Heading2Char"/>
    <w:uiPriority w:val="9"/>
    <w:unhideWhenUsed/>
    <w:qFormat/>
    <w:rsid w:val="00B77F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9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77F9A"/>
    <w:rPr>
      <w:color w:val="0563C1" w:themeColor="hyperlink"/>
      <w:u w:val="single"/>
    </w:rPr>
  </w:style>
  <w:style w:type="table" w:styleId="TableGrid">
    <w:name w:val="Table Grid"/>
    <w:basedOn w:val="TableNormal"/>
    <w:uiPriority w:val="59"/>
    <w:rsid w:val="00B7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F9A"/>
    <w:pPr>
      <w:ind w:left="720"/>
      <w:contextualSpacing/>
    </w:pPr>
  </w:style>
  <w:style w:type="paragraph" w:styleId="Header">
    <w:name w:val="header"/>
    <w:basedOn w:val="Normal"/>
    <w:link w:val="HeaderChar"/>
    <w:uiPriority w:val="99"/>
    <w:unhideWhenUsed/>
    <w:rsid w:val="00B7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9A"/>
  </w:style>
  <w:style w:type="paragraph" w:styleId="Footer">
    <w:name w:val="footer"/>
    <w:basedOn w:val="Normal"/>
    <w:link w:val="FooterChar"/>
    <w:uiPriority w:val="99"/>
    <w:unhideWhenUsed/>
    <w:rsid w:val="00B77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9A"/>
  </w:style>
  <w:style w:type="paragraph" w:customStyle="1" w:styleId="Default">
    <w:name w:val="Default"/>
    <w:rsid w:val="0085057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65F50"/>
    <w:rPr>
      <w:sz w:val="16"/>
      <w:szCs w:val="16"/>
    </w:rPr>
  </w:style>
  <w:style w:type="paragraph" w:styleId="CommentText">
    <w:name w:val="annotation text"/>
    <w:basedOn w:val="Normal"/>
    <w:link w:val="CommentTextChar"/>
    <w:uiPriority w:val="99"/>
    <w:semiHidden/>
    <w:unhideWhenUsed/>
    <w:rsid w:val="00065F50"/>
    <w:pPr>
      <w:spacing w:line="240" w:lineRule="auto"/>
    </w:pPr>
    <w:rPr>
      <w:sz w:val="20"/>
      <w:szCs w:val="20"/>
    </w:rPr>
  </w:style>
  <w:style w:type="character" w:customStyle="1" w:styleId="CommentTextChar">
    <w:name w:val="Comment Text Char"/>
    <w:basedOn w:val="DefaultParagraphFont"/>
    <w:link w:val="CommentText"/>
    <w:uiPriority w:val="99"/>
    <w:semiHidden/>
    <w:rsid w:val="00065F50"/>
    <w:rPr>
      <w:sz w:val="20"/>
      <w:szCs w:val="20"/>
    </w:rPr>
  </w:style>
  <w:style w:type="paragraph" w:styleId="CommentSubject">
    <w:name w:val="annotation subject"/>
    <w:basedOn w:val="CommentText"/>
    <w:next w:val="CommentText"/>
    <w:link w:val="CommentSubjectChar"/>
    <w:uiPriority w:val="99"/>
    <w:semiHidden/>
    <w:unhideWhenUsed/>
    <w:rsid w:val="00065F50"/>
    <w:rPr>
      <w:b/>
      <w:bCs/>
    </w:rPr>
  </w:style>
  <w:style w:type="character" w:customStyle="1" w:styleId="CommentSubjectChar">
    <w:name w:val="Comment Subject Char"/>
    <w:basedOn w:val="CommentTextChar"/>
    <w:link w:val="CommentSubject"/>
    <w:uiPriority w:val="99"/>
    <w:semiHidden/>
    <w:rsid w:val="00065F50"/>
    <w:rPr>
      <w:b/>
      <w:bCs/>
      <w:sz w:val="20"/>
      <w:szCs w:val="20"/>
    </w:rPr>
  </w:style>
  <w:style w:type="paragraph" w:styleId="BalloonText">
    <w:name w:val="Balloon Text"/>
    <w:basedOn w:val="Normal"/>
    <w:link w:val="BalloonTextChar"/>
    <w:uiPriority w:val="99"/>
    <w:semiHidden/>
    <w:unhideWhenUsed/>
    <w:rsid w:val="0006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50"/>
    <w:rPr>
      <w:rFonts w:ascii="Segoe UI" w:hAnsi="Segoe UI" w:cs="Segoe UI"/>
      <w:sz w:val="18"/>
      <w:szCs w:val="18"/>
    </w:rPr>
  </w:style>
  <w:style w:type="paragraph" w:styleId="FootnoteText">
    <w:name w:val="footnote text"/>
    <w:basedOn w:val="Normal"/>
    <w:link w:val="FootnoteTextChar"/>
    <w:uiPriority w:val="99"/>
    <w:unhideWhenUsed/>
    <w:rsid w:val="00781511"/>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rsid w:val="00781511"/>
    <w:rPr>
      <w:rFonts w:eastAsiaTheme="minorEastAsia"/>
      <w:sz w:val="20"/>
      <w:szCs w:val="20"/>
      <w:lang w:val="en-GB" w:eastAsia="en-GB"/>
    </w:rPr>
  </w:style>
  <w:style w:type="character" w:styleId="FootnoteReference">
    <w:name w:val="footnote reference"/>
    <w:basedOn w:val="DefaultParagraphFont"/>
    <w:uiPriority w:val="99"/>
    <w:semiHidden/>
    <w:unhideWhenUsed/>
    <w:rsid w:val="00781511"/>
    <w:rPr>
      <w:vertAlign w:val="superscript"/>
    </w:rPr>
  </w:style>
  <w:style w:type="paragraph" w:styleId="NormalWeb">
    <w:name w:val="Normal (Web)"/>
    <w:basedOn w:val="Normal"/>
    <w:uiPriority w:val="99"/>
    <w:unhideWhenUsed/>
    <w:rsid w:val="003A3B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B54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2144-67A8-4E75-8059-333C0E86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Agriculture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dc:creator>
  <cp:keywords/>
  <dc:description/>
  <cp:lastModifiedBy>JL</cp:lastModifiedBy>
  <cp:revision>2</cp:revision>
  <cp:lastPrinted>2016-07-18T02:58:00Z</cp:lastPrinted>
  <dcterms:created xsi:type="dcterms:W3CDTF">2018-07-20T06:53:00Z</dcterms:created>
  <dcterms:modified xsi:type="dcterms:W3CDTF">2018-07-20T06:53:00Z</dcterms:modified>
</cp:coreProperties>
</file>