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7904F" w14:textId="50FB0489" w:rsidR="00844695" w:rsidRDefault="00613D2A" w:rsidP="007428BB">
      <w:pPr>
        <w:pStyle w:val="Default"/>
        <w:jc w:val="center"/>
        <w:rPr>
          <w:b/>
          <w:bCs/>
          <w:color w:val="auto"/>
          <w:sz w:val="22"/>
          <w:szCs w:val="22"/>
        </w:rPr>
      </w:pPr>
      <w:r>
        <w:rPr>
          <w:b/>
          <w:bCs/>
          <w:color w:val="auto"/>
          <w:sz w:val="22"/>
          <w:szCs w:val="22"/>
        </w:rPr>
        <w:t>CMM 201</w:t>
      </w:r>
      <w:r w:rsidR="00BA4191">
        <w:rPr>
          <w:b/>
          <w:bCs/>
          <w:color w:val="auto"/>
          <w:sz w:val="22"/>
          <w:szCs w:val="22"/>
        </w:rPr>
        <w:t>6</w:t>
      </w:r>
      <w:r w:rsidR="00FE5F73">
        <w:rPr>
          <w:b/>
          <w:bCs/>
          <w:color w:val="auto"/>
          <w:sz w:val="22"/>
          <w:szCs w:val="22"/>
        </w:rPr>
        <w:t>/04</w:t>
      </w:r>
    </w:p>
    <w:p w14:paraId="4D68075B" w14:textId="77777777" w:rsidR="00844695" w:rsidRDefault="00844695" w:rsidP="007428BB">
      <w:pPr>
        <w:pStyle w:val="Default"/>
        <w:jc w:val="center"/>
        <w:rPr>
          <w:b/>
          <w:bCs/>
          <w:color w:val="auto"/>
          <w:sz w:val="22"/>
          <w:szCs w:val="22"/>
        </w:rPr>
      </w:pPr>
    </w:p>
    <w:p w14:paraId="2AEF1430" w14:textId="67CE0D86" w:rsidR="007428BB" w:rsidRPr="007428BB" w:rsidRDefault="007428BB" w:rsidP="007428BB">
      <w:pPr>
        <w:pStyle w:val="Default"/>
        <w:jc w:val="center"/>
        <w:rPr>
          <w:b/>
          <w:bCs/>
          <w:color w:val="auto"/>
          <w:sz w:val="22"/>
          <w:szCs w:val="22"/>
        </w:rPr>
      </w:pPr>
      <w:r w:rsidRPr="007428BB">
        <w:rPr>
          <w:b/>
          <w:bCs/>
          <w:color w:val="auto"/>
          <w:sz w:val="22"/>
          <w:szCs w:val="22"/>
        </w:rPr>
        <w:t xml:space="preserve">Conservation and Management Measure </w:t>
      </w:r>
      <w:r w:rsidR="0042396C">
        <w:rPr>
          <w:b/>
          <w:bCs/>
          <w:color w:val="auto"/>
          <w:sz w:val="22"/>
          <w:szCs w:val="22"/>
        </w:rPr>
        <w:t xml:space="preserve">on Vessels </w:t>
      </w:r>
      <w:r w:rsidR="00155455">
        <w:rPr>
          <w:b/>
          <w:bCs/>
          <w:color w:val="auto"/>
          <w:sz w:val="22"/>
          <w:szCs w:val="22"/>
        </w:rPr>
        <w:t>w</w:t>
      </w:r>
      <w:r w:rsidR="0042396C">
        <w:rPr>
          <w:b/>
          <w:bCs/>
          <w:color w:val="auto"/>
          <w:sz w:val="22"/>
          <w:szCs w:val="22"/>
        </w:rPr>
        <w:t>ithout Nationality</w:t>
      </w:r>
      <w:r w:rsidR="0042396C" w:rsidRPr="007428BB">
        <w:rPr>
          <w:b/>
          <w:bCs/>
          <w:color w:val="auto"/>
          <w:sz w:val="22"/>
          <w:szCs w:val="22"/>
        </w:rPr>
        <w:t xml:space="preserve"> </w:t>
      </w:r>
      <w:r w:rsidR="00FF291D">
        <w:rPr>
          <w:b/>
          <w:bCs/>
          <w:color w:val="auto"/>
          <w:sz w:val="22"/>
          <w:szCs w:val="22"/>
        </w:rPr>
        <w:t>(</w:t>
      </w:r>
      <w:r w:rsidR="005462B1">
        <w:rPr>
          <w:b/>
          <w:bCs/>
          <w:color w:val="auto"/>
          <w:sz w:val="22"/>
          <w:szCs w:val="22"/>
        </w:rPr>
        <w:t>Vessels without Nationality)</w:t>
      </w:r>
    </w:p>
    <w:p w14:paraId="30E63F05" w14:textId="77777777" w:rsidR="007428BB" w:rsidRDefault="007428BB" w:rsidP="007428BB">
      <w:pPr>
        <w:pStyle w:val="Default"/>
        <w:jc w:val="center"/>
        <w:rPr>
          <w:color w:val="auto"/>
          <w:sz w:val="22"/>
          <w:szCs w:val="22"/>
        </w:rPr>
      </w:pPr>
    </w:p>
    <w:p w14:paraId="0C0C6488" w14:textId="77777777" w:rsidR="00844695" w:rsidRPr="007428BB" w:rsidRDefault="00844695" w:rsidP="007428BB">
      <w:pPr>
        <w:pStyle w:val="Default"/>
        <w:jc w:val="center"/>
        <w:rPr>
          <w:color w:val="auto"/>
          <w:sz w:val="22"/>
          <w:szCs w:val="22"/>
        </w:rPr>
      </w:pPr>
    </w:p>
    <w:p w14:paraId="52797458" w14:textId="776F90C2" w:rsidR="007428BB" w:rsidRPr="007428BB" w:rsidRDefault="00D62689" w:rsidP="007428BB">
      <w:pPr>
        <w:pStyle w:val="Default"/>
        <w:rPr>
          <w:b/>
          <w:bCs/>
          <w:color w:val="auto"/>
          <w:sz w:val="22"/>
          <w:szCs w:val="22"/>
        </w:rPr>
      </w:pPr>
      <w:r>
        <w:rPr>
          <w:b/>
          <w:bCs/>
          <w:color w:val="auto"/>
          <w:sz w:val="22"/>
          <w:szCs w:val="22"/>
        </w:rPr>
        <w:t>The Meeting of the</w:t>
      </w:r>
      <w:r w:rsidR="007A31AE">
        <w:rPr>
          <w:b/>
          <w:bCs/>
          <w:color w:val="auto"/>
          <w:sz w:val="22"/>
          <w:szCs w:val="22"/>
        </w:rPr>
        <w:t xml:space="preserve"> Parties</w:t>
      </w:r>
      <w:r w:rsidR="007428BB" w:rsidRPr="007428BB">
        <w:rPr>
          <w:b/>
          <w:bCs/>
          <w:color w:val="auto"/>
          <w:sz w:val="22"/>
          <w:szCs w:val="22"/>
        </w:rPr>
        <w:t xml:space="preserve"> to the Southern Indian Ocean Fisheries Agreement; </w:t>
      </w:r>
    </w:p>
    <w:p w14:paraId="187143FD" w14:textId="0A19E5F7" w:rsidR="007428BB" w:rsidRPr="007428BB" w:rsidRDefault="007428BB" w:rsidP="007428BB">
      <w:pPr>
        <w:spacing w:before="200" w:after="0"/>
        <w:rPr>
          <w:rFonts w:ascii="Cambria" w:eastAsiaTheme="minorHAnsi" w:hAnsi="Cambria" w:cs="Cambria"/>
          <w:sz w:val="22"/>
        </w:rPr>
      </w:pPr>
      <w:r w:rsidRPr="007428BB">
        <w:rPr>
          <w:rFonts w:ascii="Cambria" w:eastAsiaTheme="minorHAnsi" w:hAnsi="Cambria" w:cs="Cambria"/>
          <w:i/>
          <w:sz w:val="22"/>
        </w:rPr>
        <w:t>RECOGNISING</w:t>
      </w:r>
      <w:r w:rsidRPr="007428BB">
        <w:rPr>
          <w:rFonts w:ascii="Cambria" w:eastAsiaTheme="minorHAnsi" w:hAnsi="Cambria" w:cs="Cambria"/>
          <w:sz w:val="22"/>
        </w:rPr>
        <w:t xml:space="preserve"> that vessels without nationality operate without governance and oversight</w:t>
      </w:r>
      <w:r w:rsidR="003A04AF">
        <w:rPr>
          <w:rFonts w:ascii="Cambria" w:eastAsiaTheme="minorHAnsi" w:hAnsi="Cambria" w:cs="Cambria"/>
          <w:sz w:val="22"/>
        </w:rPr>
        <w:t>;</w:t>
      </w:r>
      <w:r w:rsidRPr="007428BB">
        <w:rPr>
          <w:rFonts w:ascii="Cambria" w:eastAsiaTheme="minorHAnsi" w:hAnsi="Cambria" w:cs="Cambria"/>
          <w:sz w:val="22"/>
        </w:rPr>
        <w:t xml:space="preserve"> </w:t>
      </w:r>
    </w:p>
    <w:p w14:paraId="4C4A0997" w14:textId="77777777" w:rsidR="007428BB" w:rsidRDefault="007428BB" w:rsidP="007428BB">
      <w:pPr>
        <w:spacing w:before="200" w:after="0"/>
        <w:rPr>
          <w:rFonts w:ascii="Cambria" w:eastAsiaTheme="minorHAnsi" w:hAnsi="Cambria" w:cs="Cambria"/>
          <w:sz w:val="22"/>
        </w:rPr>
      </w:pPr>
      <w:r w:rsidRPr="007428BB">
        <w:rPr>
          <w:rFonts w:ascii="Cambria" w:eastAsiaTheme="minorHAnsi" w:hAnsi="Cambria" w:cs="Cambria"/>
          <w:i/>
          <w:sz w:val="22"/>
        </w:rPr>
        <w:t>CONCERNED</w:t>
      </w:r>
      <w:r w:rsidRPr="007428BB">
        <w:rPr>
          <w:rFonts w:ascii="Cambria" w:eastAsiaTheme="minorHAnsi" w:hAnsi="Cambria" w:cs="Cambria"/>
          <w:sz w:val="22"/>
        </w:rPr>
        <w:t xml:space="preserve"> that fishing in the </w:t>
      </w:r>
      <w:r w:rsidR="00155455" w:rsidRPr="00155455">
        <w:rPr>
          <w:rFonts w:ascii="Cambria" w:eastAsiaTheme="minorHAnsi" w:hAnsi="Cambria" w:cs="Cambria"/>
          <w:sz w:val="22"/>
        </w:rPr>
        <w:t xml:space="preserve">SIOFA Area of Application </w:t>
      </w:r>
      <w:r w:rsidR="00155455">
        <w:rPr>
          <w:rFonts w:ascii="Cambria" w:eastAsiaTheme="minorHAnsi" w:hAnsi="Cambria" w:cs="Cambria"/>
          <w:sz w:val="22"/>
        </w:rPr>
        <w:t xml:space="preserve">(the </w:t>
      </w:r>
      <w:r w:rsidR="00844695">
        <w:rPr>
          <w:rFonts w:ascii="Cambria" w:eastAsiaTheme="minorHAnsi" w:hAnsi="Cambria" w:cs="Cambria"/>
          <w:sz w:val="22"/>
        </w:rPr>
        <w:t xml:space="preserve">Agreement </w:t>
      </w:r>
      <w:r w:rsidRPr="007428BB">
        <w:rPr>
          <w:rFonts w:ascii="Cambria" w:eastAsiaTheme="minorHAnsi" w:hAnsi="Cambria" w:cs="Cambria"/>
          <w:sz w:val="22"/>
        </w:rPr>
        <w:t>Area</w:t>
      </w:r>
      <w:r w:rsidR="00155455">
        <w:rPr>
          <w:rFonts w:ascii="Cambria" w:eastAsiaTheme="minorHAnsi" w:hAnsi="Cambria" w:cs="Cambria"/>
          <w:sz w:val="22"/>
        </w:rPr>
        <w:t>)</w:t>
      </w:r>
      <w:r w:rsidRPr="007428BB">
        <w:rPr>
          <w:rFonts w:ascii="Cambria" w:eastAsiaTheme="minorHAnsi" w:hAnsi="Cambria" w:cs="Cambria"/>
          <w:sz w:val="22"/>
        </w:rPr>
        <w:t xml:space="preserve"> by vessels without nationality undermines the objective of the Agreement and the work of the Meeting of the Parties; </w:t>
      </w:r>
    </w:p>
    <w:p w14:paraId="4F5EC709" w14:textId="77777777" w:rsidR="00D870CC" w:rsidRPr="0022306C" w:rsidRDefault="00D870CC" w:rsidP="00D870CC">
      <w:pPr>
        <w:spacing w:before="200" w:after="0"/>
        <w:jc w:val="both"/>
        <w:rPr>
          <w:rFonts w:ascii="Times New Roman" w:hAnsi="Times New Roman"/>
        </w:rPr>
      </w:pPr>
      <w:r>
        <w:rPr>
          <w:rFonts w:ascii="Cambria" w:eastAsiaTheme="minorHAnsi" w:hAnsi="Cambria" w:cs="Cambria"/>
          <w:i/>
          <w:sz w:val="22"/>
        </w:rPr>
        <w:t>NOTING</w:t>
      </w:r>
      <w:r>
        <w:rPr>
          <w:rFonts w:ascii="Times New Roman" w:hAnsi="Times New Roman"/>
        </w:rPr>
        <w:t xml:space="preserve"> </w:t>
      </w:r>
      <w:r w:rsidRPr="00D870CC">
        <w:rPr>
          <w:rFonts w:ascii="Cambria" w:eastAsiaTheme="minorHAnsi" w:hAnsi="Cambria" w:cs="Cambria"/>
          <w:sz w:val="22"/>
        </w:rPr>
        <w:t>Articles 92 and 94 of the</w:t>
      </w:r>
      <w:bookmarkStart w:id="0" w:name="_GoBack"/>
      <w:r w:rsidRPr="00A8460D">
        <w:rPr>
          <w:rFonts w:ascii="Cambria" w:eastAsiaTheme="minorHAnsi" w:hAnsi="Cambria" w:cs="Cambria"/>
          <w:i/>
          <w:sz w:val="22"/>
        </w:rPr>
        <w:t xml:space="preserve"> United Nations Convention on the Law of the Sea</w:t>
      </w:r>
      <w:bookmarkEnd w:id="0"/>
      <w:r w:rsidRPr="00D870CC">
        <w:rPr>
          <w:rFonts w:ascii="Cambria" w:eastAsiaTheme="minorHAnsi" w:hAnsi="Cambria" w:cs="Cambria"/>
          <w:sz w:val="22"/>
        </w:rPr>
        <w:t xml:space="preserve"> (UNCLOS) relating to the status of ships and the duties of flag States;</w:t>
      </w:r>
      <w:r w:rsidR="00844695">
        <w:rPr>
          <w:rFonts w:ascii="Cambria" w:eastAsiaTheme="minorHAnsi" w:hAnsi="Cambria" w:cs="Cambria"/>
          <w:sz w:val="22"/>
        </w:rPr>
        <w:t xml:space="preserve"> and</w:t>
      </w:r>
    </w:p>
    <w:p w14:paraId="020694AB" w14:textId="77777777" w:rsidR="007428BB" w:rsidRPr="007428BB" w:rsidRDefault="007428BB" w:rsidP="007428BB">
      <w:pPr>
        <w:spacing w:before="200" w:after="0"/>
        <w:rPr>
          <w:rFonts w:ascii="Cambria" w:eastAsiaTheme="minorHAnsi" w:hAnsi="Cambria" w:cs="Cambria"/>
          <w:sz w:val="22"/>
        </w:rPr>
      </w:pPr>
      <w:r w:rsidRPr="007428BB">
        <w:rPr>
          <w:rFonts w:ascii="Cambria" w:eastAsiaTheme="minorHAnsi" w:hAnsi="Cambria" w:cs="Cambria"/>
          <w:i/>
          <w:sz w:val="22"/>
        </w:rPr>
        <w:t>RECALLING</w:t>
      </w:r>
      <w:r w:rsidRPr="007428BB">
        <w:rPr>
          <w:rFonts w:ascii="Cambria" w:eastAsiaTheme="minorHAnsi" w:hAnsi="Cambria" w:cs="Cambria"/>
          <w:sz w:val="22"/>
        </w:rPr>
        <w:t xml:space="preserve"> that the FAO Council has adopted an International Plan of Action to Prevent, Dete</w:t>
      </w:r>
      <w:r w:rsidRPr="0042396C">
        <w:rPr>
          <w:rFonts w:ascii="Cambria" w:eastAsiaTheme="minorHAnsi" w:hAnsi="Cambria" w:cs="Cambria"/>
          <w:sz w:val="22"/>
        </w:rPr>
        <w:t>r and Eliminate Illegal, Unreported and Unregulated fishing (IUU fishing) and has recommended that States adopt measures consistent with international law in relation to fishing vessels without nationality involved in IUU fishing on the high seas;</w:t>
      </w:r>
    </w:p>
    <w:p w14:paraId="518202EA" w14:textId="66E9AA24" w:rsidR="007428BB" w:rsidRDefault="007428BB" w:rsidP="00361025">
      <w:pPr>
        <w:spacing w:before="200" w:after="0"/>
        <w:rPr>
          <w:rFonts w:ascii="Cambria" w:hAnsi="Cambria"/>
          <w:b/>
          <w:sz w:val="22"/>
        </w:rPr>
      </w:pPr>
      <w:r w:rsidRPr="00844695">
        <w:rPr>
          <w:rFonts w:ascii="Cambria" w:hAnsi="Cambria"/>
          <w:b/>
          <w:i/>
          <w:iCs/>
          <w:sz w:val="22"/>
        </w:rPr>
        <w:t>A</w:t>
      </w:r>
      <w:r w:rsidR="00C11414">
        <w:rPr>
          <w:rFonts w:ascii="Cambria" w:hAnsi="Cambria"/>
          <w:b/>
          <w:i/>
          <w:iCs/>
          <w:sz w:val="22"/>
        </w:rPr>
        <w:t>DOPTS</w:t>
      </w:r>
      <w:r w:rsidRPr="00844695">
        <w:rPr>
          <w:rFonts w:ascii="Cambria" w:hAnsi="Cambria"/>
          <w:b/>
          <w:i/>
          <w:iCs/>
          <w:sz w:val="22"/>
        </w:rPr>
        <w:t xml:space="preserve"> </w:t>
      </w:r>
      <w:r w:rsidRPr="00844695">
        <w:rPr>
          <w:rFonts w:ascii="Cambria" w:hAnsi="Cambria"/>
          <w:b/>
          <w:sz w:val="22"/>
        </w:rPr>
        <w:t xml:space="preserve">the following </w:t>
      </w:r>
      <w:r w:rsidR="003A04AF">
        <w:rPr>
          <w:rFonts w:ascii="Cambria" w:hAnsi="Cambria"/>
          <w:b/>
          <w:sz w:val="22"/>
        </w:rPr>
        <w:t>Conservation and Management Measure (</w:t>
      </w:r>
      <w:r w:rsidRPr="00844695">
        <w:rPr>
          <w:rFonts w:ascii="Cambria" w:hAnsi="Cambria"/>
          <w:b/>
          <w:sz w:val="22"/>
        </w:rPr>
        <w:t>CMM</w:t>
      </w:r>
      <w:r w:rsidR="003A04AF">
        <w:rPr>
          <w:rFonts w:ascii="Cambria" w:hAnsi="Cambria"/>
          <w:b/>
          <w:sz w:val="22"/>
        </w:rPr>
        <w:t>)</w:t>
      </w:r>
      <w:r w:rsidRPr="00844695">
        <w:rPr>
          <w:rFonts w:ascii="Cambria" w:hAnsi="Cambria"/>
          <w:b/>
          <w:sz w:val="22"/>
        </w:rPr>
        <w:t xml:space="preserve"> in accordance with Article 6 of the Agreement:</w:t>
      </w:r>
    </w:p>
    <w:p w14:paraId="2D310677" w14:textId="77777777" w:rsidR="005462B1" w:rsidRPr="00844695" w:rsidRDefault="005462B1" w:rsidP="00361025">
      <w:pPr>
        <w:spacing w:before="200" w:after="0"/>
        <w:rPr>
          <w:b/>
          <w:sz w:val="22"/>
        </w:rPr>
      </w:pPr>
    </w:p>
    <w:p w14:paraId="03B6BDF4" w14:textId="77777777" w:rsidR="00D870CC" w:rsidRPr="00844695" w:rsidRDefault="002E48EC" w:rsidP="00B05CAF">
      <w:pPr>
        <w:pStyle w:val="ListParagraph"/>
        <w:numPr>
          <w:ilvl w:val="0"/>
          <w:numId w:val="7"/>
        </w:numPr>
        <w:spacing w:before="200"/>
        <w:ind w:hanging="720"/>
        <w:jc w:val="both"/>
        <w:rPr>
          <w:rFonts w:ascii="Cambria" w:hAnsi="Cambria"/>
        </w:rPr>
      </w:pPr>
      <w:r w:rsidRPr="00844695">
        <w:rPr>
          <w:rFonts w:ascii="Cambria" w:hAnsi="Cambria"/>
        </w:rPr>
        <w:t xml:space="preserve">A vessel without nationality is a vessel that, under international law, is not entitled to fly the flag of any State or, </w:t>
      </w:r>
      <w:r w:rsidR="00E36374">
        <w:rPr>
          <w:rFonts w:ascii="Cambria" w:hAnsi="Cambria"/>
        </w:rPr>
        <w:t xml:space="preserve">as referred to in </w:t>
      </w:r>
      <w:r w:rsidRPr="00844695">
        <w:rPr>
          <w:rFonts w:ascii="Cambria" w:hAnsi="Cambria"/>
        </w:rPr>
        <w:t>Article 92 of UNCLOS, sails under the flag of two or more States, using them according to convenience.</w:t>
      </w:r>
    </w:p>
    <w:p w14:paraId="14A1F630" w14:textId="695C0C41" w:rsidR="007428BB" w:rsidRPr="007428BB" w:rsidRDefault="007428BB" w:rsidP="00B05CAF">
      <w:pPr>
        <w:pStyle w:val="ListParagraph"/>
        <w:numPr>
          <w:ilvl w:val="0"/>
          <w:numId w:val="7"/>
        </w:numPr>
        <w:spacing w:before="200"/>
        <w:ind w:hanging="720"/>
        <w:contextualSpacing w:val="0"/>
        <w:rPr>
          <w:rFonts w:ascii="Cambria" w:eastAsiaTheme="minorHAnsi" w:hAnsi="Cambria" w:cs="Cambria"/>
          <w:szCs w:val="22"/>
        </w:rPr>
      </w:pPr>
      <w:r w:rsidRPr="00B05CAF">
        <w:rPr>
          <w:rFonts w:ascii="Cambria" w:eastAsiaTheme="minorHAnsi" w:hAnsi="Cambria" w:cs="Cambria"/>
          <w:szCs w:val="22"/>
        </w:rPr>
        <w:t>Vessels determined under international law to be vessels without nationality that are</w:t>
      </w:r>
      <w:r w:rsidRPr="007428BB">
        <w:rPr>
          <w:rFonts w:ascii="Cambria" w:eastAsiaTheme="minorHAnsi" w:hAnsi="Cambria" w:cs="Cambria"/>
          <w:szCs w:val="22"/>
        </w:rPr>
        <w:t xml:space="preserve"> fishing in the </w:t>
      </w:r>
      <w:r w:rsidR="00844695">
        <w:rPr>
          <w:rFonts w:ascii="Cambria" w:eastAsiaTheme="minorHAnsi" w:hAnsi="Cambria" w:cs="Cambria"/>
          <w:szCs w:val="22"/>
        </w:rPr>
        <w:t xml:space="preserve">Agreement </w:t>
      </w:r>
      <w:r w:rsidRPr="007428BB">
        <w:rPr>
          <w:rFonts w:ascii="Cambria" w:eastAsiaTheme="minorHAnsi" w:hAnsi="Cambria" w:cs="Cambria"/>
          <w:szCs w:val="22"/>
        </w:rPr>
        <w:t xml:space="preserve">Area undermine the Agreement and the </w:t>
      </w:r>
      <w:r w:rsidR="001A4806">
        <w:rPr>
          <w:rFonts w:ascii="Cambria" w:eastAsiaTheme="minorHAnsi" w:hAnsi="Cambria" w:cs="Cambria"/>
          <w:szCs w:val="22"/>
        </w:rPr>
        <w:t xml:space="preserve">efforts of the </w:t>
      </w:r>
      <w:r w:rsidR="0013156D">
        <w:rPr>
          <w:rFonts w:ascii="Cambria" w:eastAsiaTheme="minorHAnsi" w:hAnsi="Cambria" w:cs="Cambria"/>
          <w:szCs w:val="22"/>
        </w:rPr>
        <w:t xml:space="preserve">Contracting Parties, </w:t>
      </w:r>
      <w:r w:rsidR="0078123B">
        <w:rPr>
          <w:rFonts w:ascii="Cambria" w:eastAsiaTheme="minorHAnsi" w:hAnsi="Cambria" w:cs="Cambria"/>
          <w:szCs w:val="22"/>
        </w:rPr>
        <w:t>c</w:t>
      </w:r>
      <w:r w:rsidR="0013156D">
        <w:rPr>
          <w:rFonts w:ascii="Cambria" w:eastAsiaTheme="minorHAnsi" w:hAnsi="Cambria" w:cs="Cambria"/>
          <w:szCs w:val="22"/>
        </w:rPr>
        <w:t xml:space="preserve">ooperating non-Contracting Parties (CNCPs) and Participating Fishing Entities (PFEs) </w:t>
      </w:r>
      <w:r w:rsidR="001A4806">
        <w:rPr>
          <w:rFonts w:ascii="Cambria" w:eastAsiaTheme="minorHAnsi" w:hAnsi="Cambria" w:cs="Cambria"/>
          <w:szCs w:val="22"/>
        </w:rPr>
        <w:t>to ensure the long-term sustainability of the fishery resources</w:t>
      </w:r>
      <w:r w:rsidR="0013156D">
        <w:rPr>
          <w:rFonts w:ascii="Cambria" w:eastAsiaTheme="minorHAnsi" w:hAnsi="Cambria" w:cs="Cambria"/>
          <w:szCs w:val="22"/>
        </w:rPr>
        <w:t>,</w:t>
      </w:r>
      <w:r w:rsidR="001A4806">
        <w:rPr>
          <w:rFonts w:ascii="Cambria" w:eastAsiaTheme="minorHAnsi" w:hAnsi="Cambria" w:cs="Cambria"/>
          <w:szCs w:val="22"/>
        </w:rPr>
        <w:t xml:space="preserve"> </w:t>
      </w:r>
      <w:r w:rsidRPr="007428BB">
        <w:rPr>
          <w:rFonts w:ascii="Cambria" w:eastAsiaTheme="minorHAnsi" w:hAnsi="Cambria" w:cs="Cambria"/>
          <w:szCs w:val="22"/>
        </w:rPr>
        <w:t>and are engaged in IUU fishing</w:t>
      </w:r>
      <w:r w:rsidR="003A04AF">
        <w:rPr>
          <w:rFonts w:ascii="Cambria" w:eastAsiaTheme="minorHAnsi" w:hAnsi="Cambria" w:cs="Cambria"/>
          <w:szCs w:val="22"/>
        </w:rPr>
        <w:t>.</w:t>
      </w:r>
    </w:p>
    <w:p w14:paraId="246E39ED" w14:textId="0B4F152C" w:rsidR="007428BB" w:rsidRPr="007428BB" w:rsidRDefault="007428BB" w:rsidP="00B05CAF">
      <w:pPr>
        <w:pStyle w:val="ListParagraph"/>
        <w:numPr>
          <w:ilvl w:val="0"/>
          <w:numId w:val="7"/>
        </w:numPr>
        <w:spacing w:before="200"/>
        <w:ind w:hanging="720"/>
        <w:contextualSpacing w:val="0"/>
        <w:rPr>
          <w:rFonts w:ascii="Cambria" w:eastAsiaTheme="minorHAnsi" w:hAnsi="Cambria" w:cs="Cambria"/>
          <w:szCs w:val="22"/>
        </w:rPr>
      </w:pPr>
      <w:r>
        <w:rPr>
          <w:rFonts w:ascii="Cambria" w:eastAsiaTheme="minorHAnsi" w:hAnsi="Cambria" w:cs="Cambria"/>
          <w:szCs w:val="22"/>
        </w:rPr>
        <w:t xml:space="preserve">Contracting Parties, </w:t>
      </w:r>
      <w:r w:rsidR="0013156D">
        <w:rPr>
          <w:rFonts w:ascii="Cambria" w:eastAsiaTheme="minorHAnsi" w:hAnsi="Cambria" w:cs="Cambria"/>
          <w:szCs w:val="22"/>
        </w:rPr>
        <w:t>CNCPs and PFEs</w:t>
      </w:r>
      <w:r w:rsidR="0013156D" w:rsidRPr="007428BB" w:rsidDel="007428BB">
        <w:rPr>
          <w:rFonts w:ascii="Cambria" w:eastAsiaTheme="minorHAnsi" w:hAnsi="Cambria" w:cs="Cambria"/>
          <w:szCs w:val="22"/>
        </w:rPr>
        <w:t xml:space="preserve"> </w:t>
      </w:r>
      <w:r w:rsidRPr="007428BB">
        <w:rPr>
          <w:rFonts w:ascii="Cambria" w:eastAsiaTheme="minorHAnsi" w:hAnsi="Cambria" w:cs="Cambria"/>
          <w:szCs w:val="22"/>
        </w:rPr>
        <w:t xml:space="preserve">are encouraged to take effective action in accordance with international law, including, where appropriate, enforcement action, against vessels without nationality that are engaging, or have engaged, in fishing or fishing related activities in the </w:t>
      </w:r>
      <w:r w:rsidR="00844695">
        <w:rPr>
          <w:rFonts w:ascii="Cambria" w:eastAsiaTheme="minorHAnsi" w:hAnsi="Cambria" w:cs="Cambria"/>
          <w:szCs w:val="22"/>
        </w:rPr>
        <w:t xml:space="preserve">Agreement </w:t>
      </w:r>
      <w:r w:rsidRPr="007428BB">
        <w:rPr>
          <w:rFonts w:ascii="Cambria" w:eastAsiaTheme="minorHAnsi" w:hAnsi="Cambria" w:cs="Cambria"/>
          <w:szCs w:val="22"/>
        </w:rPr>
        <w:t>Area, and to prohibit the landing and transhipment of fish and fish products, and access to port services, by such vessels, except where such access is essential to the safety or health of the crew or the safety of the vessel</w:t>
      </w:r>
      <w:r w:rsidR="003A04AF">
        <w:rPr>
          <w:rFonts w:ascii="Cambria" w:eastAsiaTheme="minorHAnsi" w:hAnsi="Cambria" w:cs="Cambria"/>
          <w:szCs w:val="22"/>
        </w:rPr>
        <w:t>/s.</w:t>
      </w:r>
    </w:p>
    <w:p w14:paraId="33B0EC33" w14:textId="77777777" w:rsidR="007428BB" w:rsidRPr="007428BB" w:rsidRDefault="007428BB" w:rsidP="00B05CAF">
      <w:pPr>
        <w:pStyle w:val="ListParagraph"/>
        <w:numPr>
          <w:ilvl w:val="0"/>
          <w:numId w:val="7"/>
        </w:numPr>
        <w:spacing w:before="200"/>
        <w:ind w:hanging="720"/>
        <w:contextualSpacing w:val="0"/>
        <w:rPr>
          <w:rFonts w:ascii="Cambria" w:eastAsiaTheme="minorHAnsi" w:hAnsi="Cambria" w:cs="Cambria"/>
          <w:szCs w:val="22"/>
        </w:rPr>
      </w:pPr>
      <w:r>
        <w:rPr>
          <w:rFonts w:ascii="Cambria" w:eastAsiaTheme="minorHAnsi" w:hAnsi="Cambria" w:cs="Cambria"/>
          <w:szCs w:val="22"/>
        </w:rPr>
        <w:t xml:space="preserve">Contracting Parties, </w:t>
      </w:r>
      <w:r w:rsidR="009F58A5">
        <w:rPr>
          <w:rFonts w:ascii="Cambria" w:eastAsiaTheme="minorHAnsi" w:hAnsi="Cambria" w:cs="Cambria"/>
          <w:szCs w:val="22"/>
        </w:rPr>
        <w:t>CNCPs and PFEs</w:t>
      </w:r>
      <w:r w:rsidRPr="007428BB" w:rsidDel="007428BB">
        <w:rPr>
          <w:rFonts w:ascii="Cambria" w:eastAsiaTheme="minorHAnsi" w:hAnsi="Cambria" w:cs="Cambria"/>
          <w:szCs w:val="22"/>
        </w:rPr>
        <w:t xml:space="preserve"> </w:t>
      </w:r>
      <w:r w:rsidRPr="007428BB">
        <w:rPr>
          <w:rFonts w:ascii="Cambria" w:eastAsiaTheme="minorHAnsi" w:hAnsi="Cambria" w:cs="Cambria"/>
          <w:szCs w:val="22"/>
        </w:rPr>
        <w:t xml:space="preserve">are encouraged to adopt necessary measures, including, where relevant, domestic legislation, to allow them to take the effective action referred to in paragraph </w:t>
      </w:r>
      <w:r w:rsidR="00B05CAF">
        <w:rPr>
          <w:rFonts w:ascii="Cambria" w:eastAsiaTheme="minorHAnsi" w:hAnsi="Cambria" w:cs="Cambria"/>
          <w:szCs w:val="22"/>
        </w:rPr>
        <w:t>3</w:t>
      </w:r>
      <w:r w:rsidRPr="007428BB">
        <w:rPr>
          <w:rFonts w:ascii="Cambria" w:eastAsiaTheme="minorHAnsi" w:hAnsi="Cambria" w:cs="Cambria"/>
          <w:szCs w:val="22"/>
        </w:rPr>
        <w:t xml:space="preserve"> to prevent and deter vessels without nationality from engaging in fishing or fishing related activities in the </w:t>
      </w:r>
      <w:r w:rsidR="00844695">
        <w:rPr>
          <w:rFonts w:ascii="Cambria" w:eastAsiaTheme="minorHAnsi" w:hAnsi="Cambria" w:cs="Cambria"/>
          <w:szCs w:val="22"/>
        </w:rPr>
        <w:t xml:space="preserve">Agreement </w:t>
      </w:r>
      <w:r w:rsidRPr="007428BB">
        <w:rPr>
          <w:rFonts w:ascii="Cambria" w:eastAsiaTheme="minorHAnsi" w:hAnsi="Cambria" w:cs="Cambria"/>
          <w:szCs w:val="22"/>
        </w:rPr>
        <w:t>Area.</w:t>
      </w:r>
    </w:p>
    <w:p w14:paraId="256235B9" w14:textId="77777777" w:rsidR="007428BB" w:rsidRPr="007428BB" w:rsidRDefault="007428BB" w:rsidP="00B05CAF">
      <w:pPr>
        <w:pStyle w:val="ListParagraph"/>
        <w:numPr>
          <w:ilvl w:val="0"/>
          <w:numId w:val="7"/>
        </w:numPr>
        <w:spacing w:before="200"/>
        <w:ind w:hanging="720"/>
        <w:contextualSpacing w:val="0"/>
        <w:rPr>
          <w:rFonts w:ascii="Cambria" w:eastAsiaTheme="minorHAnsi" w:hAnsi="Cambria" w:cs="Cambria"/>
          <w:szCs w:val="22"/>
        </w:rPr>
      </w:pPr>
      <w:r>
        <w:rPr>
          <w:rFonts w:ascii="Cambria" w:eastAsiaTheme="minorHAnsi" w:hAnsi="Cambria" w:cs="Cambria"/>
          <w:szCs w:val="22"/>
        </w:rPr>
        <w:t xml:space="preserve">Contracting Parties, </w:t>
      </w:r>
      <w:r w:rsidR="009F58A5">
        <w:rPr>
          <w:rFonts w:ascii="Cambria" w:eastAsiaTheme="minorHAnsi" w:hAnsi="Cambria" w:cs="Cambria"/>
          <w:szCs w:val="22"/>
        </w:rPr>
        <w:t xml:space="preserve">CNCPs and PFEs </w:t>
      </w:r>
      <w:r w:rsidRPr="007428BB">
        <w:rPr>
          <w:rFonts w:ascii="Cambria" w:eastAsiaTheme="minorHAnsi" w:hAnsi="Cambria" w:cs="Cambria"/>
          <w:szCs w:val="22"/>
        </w:rPr>
        <w:t>are encouraged to share information about vessels suspected to be without nationality to assist in clarifying the status of such vessels, and about the activities of vessels without nationality to inform</w:t>
      </w:r>
      <w:r w:rsidR="00D870CC">
        <w:rPr>
          <w:rFonts w:ascii="Cambria" w:eastAsiaTheme="minorHAnsi" w:hAnsi="Cambria" w:cs="Cambria"/>
          <w:szCs w:val="22"/>
        </w:rPr>
        <w:t xml:space="preserve"> decisions about</w:t>
      </w:r>
      <w:r w:rsidRPr="007428BB">
        <w:rPr>
          <w:rFonts w:ascii="Cambria" w:eastAsiaTheme="minorHAnsi" w:hAnsi="Cambria" w:cs="Cambria"/>
          <w:szCs w:val="22"/>
        </w:rPr>
        <w:t xml:space="preserve"> action to prevent and deter such vessels from engaging in fishing or fishing related activities in the </w:t>
      </w:r>
      <w:r w:rsidR="00844695">
        <w:rPr>
          <w:rFonts w:ascii="Cambria" w:eastAsiaTheme="minorHAnsi" w:hAnsi="Cambria" w:cs="Cambria"/>
          <w:szCs w:val="22"/>
        </w:rPr>
        <w:t xml:space="preserve">Agreement </w:t>
      </w:r>
      <w:r w:rsidRPr="007428BB">
        <w:rPr>
          <w:rFonts w:ascii="Cambria" w:eastAsiaTheme="minorHAnsi" w:hAnsi="Cambria" w:cs="Cambria"/>
          <w:szCs w:val="22"/>
        </w:rPr>
        <w:t xml:space="preserve">Area.  Any sightings of fishing vessels that are suspected of, or confirmed as being, without nationality that may be fishing in the high seas of the </w:t>
      </w:r>
      <w:r w:rsidR="00844695">
        <w:rPr>
          <w:rFonts w:ascii="Cambria" w:eastAsiaTheme="minorHAnsi" w:hAnsi="Cambria" w:cs="Cambria"/>
          <w:szCs w:val="22"/>
        </w:rPr>
        <w:t xml:space="preserve">Agreement </w:t>
      </w:r>
      <w:r w:rsidRPr="007428BB">
        <w:rPr>
          <w:rFonts w:ascii="Cambria" w:eastAsiaTheme="minorHAnsi" w:hAnsi="Cambria" w:cs="Cambria"/>
          <w:szCs w:val="22"/>
        </w:rPr>
        <w:t xml:space="preserve">Area </w:t>
      </w:r>
      <w:r w:rsidRPr="007428BB">
        <w:rPr>
          <w:rFonts w:ascii="Cambria" w:eastAsiaTheme="minorHAnsi" w:hAnsi="Cambria" w:cs="Cambria"/>
          <w:szCs w:val="22"/>
        </w:rPr>
        <w:lastRenderedPageBreak/>
        <w:t xml:space="preserve">shall be reported to the Secretariat as soon as possible by the appropriate authorities of the </w:t>
      </w:r>
      <w:r w:rsidR="00180E33">
        <w:rPr>
          <w:rFonts w:ascii="Cambria" w:eastAsiaTheme="minorHAnsi" w:hAnsi="Cambria" w:cs="Cambria"/>
          <w:szCs w:val="22"/>
        </w:rPr>
        <w:t xml:space="preserve">Contracting Party, CNCP or PFE </w:t>
      </w:r>
      <w:r w:rsidRPr="007428BB">
        <w:rPr>
          <w:rFonts w:ascii="Cambria" w:eastAsiaTheme="minorHAnsi" w:hAnsi="Cambria" w:cs="Cambria"/>
          <w:szCs w:val="22"/>
        </w:rPr>
        <w:t xml:space="preserve">whose vessel or aircraft made the sighting. The Secretariat will circulate such information to all </w:t>
      </w:r>
      <w:r w:rsidR="00180E33">
        <w:rPr>
          <w:rFonts w:ascii="Cambria" w:eastAsiaTheme="minorHAnsi" w:hAnsi="Cambria" w:cs="Cambria"/>
          <w:szCs w:val="22"/>
        </w:rPr>
        <w:t xml:space="preserve">Contracting Parties, CNCPs and PFEs </w:t>
      </w:r>
      <w:r w:rsidRPr="007428BB">
        <w:rPr>
          <w:rFonts w:ascii="Cambria" w:eastAsiaTheme="minorHAnsi" w:hAnsi="Cambria" w:cs="Cambria"/>
          <w:szCs w:val="22"/>
        </w:rPr>
        <w:t xml:space="preserve">as soon as practicable, and will provide a report to the </w:t>
      </w:r>
      <w:r w:rsidR="00AF0AC7">
        <w:rPr>
          <w:rFonts w:ascii="Cambria" w:eastAsiaTheme="minorHAnsi" w:hAnsi="Cambria" w:cs="Cambria"/>
          <w:szCs w:val="22"/>
        </w:rPr>
        <w:t>next ordinary meeting</w:t>
      </w:r>
      <w:r w:rsidRPr="007428BB">
        <w:rPr>
          <w:rFonts w:ascii="Cambria" w:eastAsiaTheme="minorHAnsi" w:hAnsi="Cambria" w:cs="Cambria"/>
          <w:szCs w:val="22"/>
        </w:rPr>
        <w:t xml:space="preserve"> of the Compliance Committee of all such information provided.</w:t>
      </w:r>
    </w:p>
    <w:p w14:paraId="43B3C1D7" w14:textId="77777777" w:rsidR="00FD30F2" w:rsidRDefault="007428BB" w:rsidP="00844695">
      <w:pPr>
        <w:pStyle w:val="ListParagraph"/>
        <w:numPr>
          <w:ilvl w:val="0"/>
          <w:numId w:val="7"/>
        </w:numPr>
        <w:spacing w:before="200"/>
        <w:contextualSpacing w:val="0"/>
        <w:rPr>
          <w:rFonts w:ascii="Cambria" w:eastAsiaTheme="minorHAnsi" w:hAnsi="Cambria" w:cs="Cambria"/>
        </w:rPr>
      </w:pPr>
      <w:r>
        <w:rPr>
          <w:rFonts w:ascii="Cambria" w:eastAsiaTheme="minorHAnsi" w:hAnsi="Cambria" w:cs="Cambria"/>
          <w:szCs w:val="22"/>
        </w:rPr>
        <w:t xml:space="preserve">Contracting Parties, </w:t>
      </w:r>
      <w:r w:rsidR="009F58A5">
        <w:rPr>
          <w:rFonts w:ascii="Cambria" w:eastAsiaTheme="minorHAnsi" w:hAnsi="Cambria" w:cs="Cambria"/>
          <w:szCs w:val="22"/>
        </w:rPr>
        <w:t xml:space="preserve">CNCPs and PFEs </w:t>
      </w:r>
      <w:r w:rsidRPr="007428BB">
        <w:rPr>
          <w:rFonts w:ascii="Cambria" w:eastAsiaTheme="minorHAnsi" w:hAnsi="Cambria" w:cs="Cambria"/>
          <w:szCs w:val="22"/>
        </w:rPr>
        <w:t xml:space="preserve">are encouraged to cooperate with </w:t>
      </w:r>
      <w:r w:rsidR="00D870CC">
        <w:rPr>
          <w:rFonts w:ascii="Cambria" w:eastAsiaTheme="minorHAnsi" w:hAnsi="Cambria" w:cs="Cambria"/>
          <w:szCs w:val="22"/>
        </w:rPr>
        <w:t>all</w:t>
      </w:r>
      <w:r w:rsidRPr="007428BB">
        <w:rPr>
          <w:rFonts w:ascii="Cambria" w:eastAsiaTheme="minorHAnsi" w:hAnsi="Cambria" w:cs="Cambria"/>
          <w:szCs w:val="22"/>
        </w:rPr>
        <w:t xml:space="preserve"> flag States to strengthen their legal, operational and institutional capacity to </w:t>
      </w:r>
      <w:proofErr w:type="gramStart"/>
      <w:r w:rsidRPr="007428BB">
        <w:rPr>
          <w:rFonts w:ascii="Cambria" w:eastAsiaTheme="minorHAnsi" w:hAnsi="Cambria" w:cs="Cambria"/>
          <w:szCs w:val="22"/>
        </w:rPr>
        <w:t>take action</w:t>
      </w:r>
      <w:proofErr w:type="gramEnd"/>
      <w:r w:rsidRPr="007428BB">
        <w:rPr>
          <w:rFonts w:ascii="Cambria" w:eastAsiaTheme="minorHAnsi" w:hAnsi="Cambria" w:cs="Cambria"/>
          <w:szCs w:val="22"/>
        </w:rPr>
        <w:t xml:space="preserve"> against their flagged vessels that have engaged in</w:t>
      </w:r>
      <w:r w:rsidR="00E36374">
        <w:rPr>
          <w:rFonts w:ascii="Cambria" w:eastAsiaTheme="minorHAnsi" w:hAnsi="Cambria" w:cs="Cambria"/>
          <w:szCs w:val="22"/>
        </w:rPr>
        <w:t xml:space="preserve"> IUU</w:t>
      </w:r>
      <w:r w:rsidRPr="007428BB">
        <w:rPr>
          <w:rFonts w:ascii="Cambria" w:eastAsiaTheme="minorHAnsi" w:hAnsi="Cambria" w:cs="Cambria"/>
          <w:szCs w:val="22"/>
        </w:rPr>
        <w:t xml:space="preserve"> fishing or fishing related activities in the </w:t>
      </w:r>
      <w:r w:rsidR="00844695">
        <w:rPr>
          <w:rFonts w:ascii="Cambria" w:eastAsiaTheme="minorHAnsi" w:hAnsi="Cambria" w:cs="Cambria"/>
          <w:szCs w:val="22"/>
        </w:rPr>
        <w:t xml:space="preserve">Agreement </w:t>
      </w:r>
      <w:r w:rsidRPr="007428BB">
        <w:rPr>
          <w:rFonts w:ascii="Cambria" w:eastAsiaTheme="minorHAnsi" w:hAnsi="Cambria" w:cs="Cambria"/>
          <w:szCs w:val="22"/>
        </w:rPr>
        <w:t>Area, including the imposition of adequate sanctions, as an alternative to de-</w:t>
      </w:r>
      <w:r w:rsidR="00D870CC">
        <w:rPr>
          <w:rFonts w:ascii="Cambria" w:eastAsiaTheme="minorHAnsi" w:hAnsi="Cambria" w:cs="Cambria"/>
          <w:szCs w:val="22"/>
        </w:rPr>
        <w:t>flagging</w:t>
      </w:r>
      <w:r w:rsidR="00D870CC" w:rsidRPr="007428BB">
        <w:rPr>
          <w:rFonts w:ascii="Cambria" w:eastAsiaTheme="minorHAnsi" w:hAnsi="Cambria" w:cs="Cambria"/>
          <w:szCs w:val="22"/>
        </w:rPr>
        <w:t xml:space="preserve"> </w:t>
      </w:r>
      <w:r w:rsidRPr="007428BB">
        <w:rPr>
          <w:rFonts w:ascii="Cambria" w:eastAsiaTheme="minorHAnsi" w:hAnsi="Cambria" w:cs="Cambria"/>
          <w:szCs w:val="22"/>
        </w:rPr>
        <w:t xml:space="preserve">such vessels, </w:t>
      </w:r>
      <w:r w:rsidRPr="00361025">
        <w:rPr>
          <w:rFonts w:ascii="Cambria" w:eastAsiaTheme="minorHAnsi" w:hAnsi="Cambria" w:cs="Cambria"/>
          <w:szCs w:val="22"/>
        </w:rPr>
        <w:t>thereby rendering such vessels without nationality.</w:t>
      </w:r>
    </w:p>
    <w:sectPr w:rsidR="00FD30F2" w:rsidSect="00D10D45">
      <w:headerReference w:type="default"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24303" w14:textId="77777777" w:rsidR="00687498" w:rsidRDefault="00687498" w:rsidP="005319E0">
      <w:pPr>
        <w:spacing w:after="0"/>
      </w:pPr>
      <w:r>
        <w:separator/>
      </w:r>
    </w:p>
  </w:endnote>
  <w:endnote w:type="continuationSeparator" w:id="0">
    <w:p w14:paraId="21E855CB" w14:textId="77777777" w:rsidR="00687498" w:rsidRDefault="00687498" w:rsidP="005319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863902"/>
      <w:docPartObj>
        <w:docPartGallery w:val="Page Numbers (Bottom of Page)"/>
        <w:docPartUnique/>
      </w:docPartObj>
    </w:sdtPr>
    <w:sdtEndPr>
      <w:rPr>
        <w:noProof/>
      </w:rPr>
    </w:sdtEndPr>
    <w:sdtContent>
      <w:p w14:paraId="2CD790B1" w14:textId="1F676973" w:rsidR="003147F1" w:rsidRDefault="003147F1">
        <w:pPr>
          <w:pStyle w:val="Footer"/>
          <w:jc w:val="right"/>
        </w:pPr>
        <w:r>
          <w:fldChar w:fldCharType="begin"/>
        </w:r>
        <w:r>
          <w:instrText xml:space="preserve"> PAGE   \* MERGEFORMAT </w:instrText>
        </w:r>
        <w:r>
          <w:fldChar w:fldCharType="separate"/>
        </w:r>
        <w:r w:rsidR="00BA4191">
          <w:rPr>
            <w:noProof/>
          </w:rPr>
          <w:t>100</w:t>
        </w:r>
        <w:r>
          <w:rPr>
            <w:noProof/>
          </w:rPr>
          <w:fldChar w:fldCharType="end"/>
        </w:r>
      </w:p>
    </w:sdtContent>
  </w:sdt>
  <w:p w14:paraId="319DC893" w14:textId="77777777" w:rsidR="003147F1" w:rsidRDefault="00314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F09A6" w14:textId="77777777" w:rsidR="00687498" w:rsidRDefault="00687498" w:rsidP="005319E0">
      <w:pPr>
        <w:spacing w:after="0"/>
      </w:pPr>
      <w:r>
        <w:separator/>
      </w:r>
    </w:p>
  </w:footnote>
  <w:footnote w:type="continuationSeparator" w:id="0">
    <w:p w14:paraId="687FE95A" w14:textId="77777777" w:rsidR="00687498" w:rsidRDefault="00687498" w:rsidP="005319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CB3B" w14:textId="5581A39E" w:rsidR="00E56C26" w:rsidRPr="00530324" w:rsidRDefault="00613D2A">
    <w:pPr>
      <w:pStyle w:val="Header"/>
      <w:rPr>
        <w:b/>
      </w:rPr>
    </w:pPr>
    <w:r w:rsidRPr="00530324">
      <w:rPr>
        <w: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34D9"/>
    <w:multiLevelType w:val="hybridMultilevel"/>
    <w:tmpl w:val="4DBCBC22"/>
    <w:lvl w:ilvl="0" w:tplc="0409000F">
      <w:start w:val="1"/>
      <w:numFmt w:val="decimal"/>
      <w:lvlText w:val="%1."/>
      <w:lvlJc w:val="left"/>
      <w:pPr>
        <w:ind w:left="720" w:hanging="360"/>
      </w:pPr>
    </w:lvl>
    <w:lvl w:ilvl="1" w:tplc="0570FA8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65B0F"/>
    <w:multiLevelType w:val="hybridMultilevel"/>
    <w:tmpl w:val="DEB42172"/>
    <w:lvl w:ilvl="0" w:tplc="ABD6D84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6D2E90"/>
    <w:multiLevelType w:val="hybridMultilevel"/>
    <w:tmpl w:val="788889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start w:val="1"/>
      <w:numFmt w:val="bullet"/>
      <w:lvlText w:val=""/>
      <w:lvlJc w:val="left"/>
      <w:pPr>
        <w:ind w:left="1352"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60C0FEE"/>
    <w:multiLevelType w:val="hybridMultilevel"/>
    <w:tmpl w:val="062E4E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64830AC"/>
    <w:multiLevelType w:val="hybridMultilevel"/>
    <w:tmpl w:val="FC388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B8017F"/>
    <w:multiLevelType w:val="hybridMultilevel"/>
    <w:tmpl w:val="566613AA"/>
    <w:lvl w:ilvl="0" w:tplc="BAE0B706">
      <w:numFmt w:val="bullet"/>
      <w:lvlText w:val=""/>
      <w:lvlJc w:val="left"/>
      <w:pPr>
        <w:tabs>
          <w:tab w:val="num" w:pos="360"/>
        </w:tabs>
        <w:ind w:left="360" w:hanging="360"/>
      </w:pPr>
      <w:rPr>
        <w:rFonts w:ascii="Symbol" w:eastAsia="SimSun" w:hAnsi="Symbol" w:cs="New York" w:hint="default"/>
        <w:sz w:val="24"/>
        <w:szCs w:val="24"/>
      </w:rPr>
    </w:lvl>
    <w:lvl w:ilvl="1" w:tplc="0C090001">
      <w:start w:val="1"/>
      <w:numFmt w:val="bullet"/>
      <w:lvlText w:val=""/>
      <w:lvlJc w:val="left"/>
      <w:pPr>
        <w:tabs>
          <w:tab w:val="num" w:pos="502"/>
        </w:tabs>
        <w:ind w:left="502" w:hanging="360"/>
      </w:pPr>
      <w:rPr>
        <w:rFonts w:ascii="Symbol" w:hAnsi="Symbol" w:hint="default"/>
      </w:rPr>
    </w:lvl>
    <w:lvl w:ilvl="2" w:tplc="0C090003">
      <w:start w:val="1"/>
      <w:numFmt w:val="bullet"/>
      <w:lvlText w:val="o"/>
      <w:lvlJc w:val="left"/>
      <w:pPr>
        <w:tabs>
          <w:tab w:val="num" w:pos="927"/>
        </w:tabs>
        <w:ind w:left="927" w:hanging="360"/>
      </w:pPr>
      <w:rPr>
        <w:rFonts w:ascii="Courier New" w:hAnsi="Courier New" w:cs="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6314FB"/>
    <w:multiLevelType w:val="hybridMultilevel"/>
    <w:tmpl w:val="1E226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6f9f3779-948d-4a2b-817e-c562a3f6735a"/>
  </w:docVars>
  <w:rsids>
    <w:rsidRoot w:val="00290AD9"/>
    <w:rsid w:val="00005427"/>
    <w:rsid w:val="0000572B"/>
    <w:rsid w:val="0004475D"/>
    <w:rsid w:val="001012C6"/>
    <w:rsid w:val="0013156D"/>
    <w:rsid w:val="0015018A"/>
    <w:rsid w:val="00155455"/>
    <w:rsid w:val="00180E33"/>
    <w:rsid w:val="001A4806"/>
    <w:rsid w:val="001C28A4"/>
    <w:rsid w:val="0024209C"/>
    <w:rsid w:val="00290AD9"/>
    <w:rsid w:val="002E48EC"/>
    <w:rsid w:val="003147F1"/>
    <w:rsid w:val="00361025"/>
    <w:rsid w:val="003A04AF"/>
    <w:rsid w:val="0042396C"/>
    <w:rsid w:val="004D3470"/>
    <w:rsid w:val="004E3AEB"/>
    <w:rsid w:val="00530324"/>
    <w:rsid w:val="005319E0"/>
    <w:rsid w:val="005462B1"/>
    <w:rsid w:val="00613D2A"/>
    <w:rsid w:val="00685037"/>
    <w:rsid w:val="00687498"/>
    <w:rsid w:val="007428BB"/>
    <w:rsid w:val="007537D8"/>
    <w:rsid w:val="00771D19"/>
    <w:rsid w:val="0078123B"/>
    <w:rsid w:val="007A31AE"/>
    <w:rsid w:val="00844695"/>
    <w:rsid w:val="008E45B6"/>
    <w:rsid w:val="009821B4"/>
    <w:rsid w:val="009A26E2"/>
    <w:rsid w:val="009F58A5"/>
    <w:rsid w:val="00A8460D"/>
    <w:rsid w:val="00A918C9"/>
    <w:rsid w:val="00AF0AC7"/>
    <w:rsid w:val="00B0367A"/>
    <w:rsid w:val="00B05CAF"/>
    <w:rsid w:val="00B84006"/>
    <w:rsid w:val="00B87321"/>
    <w:rsid w:val="00BA4191"/>
    <w:rsid w:val="00C11414"/>
    <w:rsid w:val="00C53155"/>
    <w:rsid w:val="00C9726F"/>
    <w:rsid w:val="00C9789B"/>
    <w:rsid w:val="00CB3872"/>
    <w:rsid w:val="00CE2E21"/>
    <w:rsid w:val="00D10D45"/>
    <w:rsid w:val="00D47E86"/>
    <w:rsid w:val="00D62689"/>
    <w:rsid w:val="00D870CC"/>
    <w:rsid w:val="00DB73B7"/>
    <w:rsid w:val="00E36374"/>
    <w:rsid w:val="00E56C26"/>
    <w:rsid w:val="00EB3FDF"/>
    <w:rsid w:val="00F60AE3"/>
    <w:rsid w:val="00F964A4"/>
    <w:rsid w:val="00FD30F2"/>
    <w:rsid w:val="00FE5F73"/>
    <w:rsid w:val="00FF29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FB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AD9"/>
    <w:pPr>
      <w:spacing w:after="20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0AD9"/>
    <w:rPr>
      <w:sz w:val="16"/>
      <w:szCs w:val="16"/>
    </w:rPr>
  </w:style>
  <w:style w:type="paragraph" w:styleId="CommentText">
    <w:name w:val="annotation text"/>
    <w:basedOn w:val="Normal"/>
    <w:link w:val="CommentTextChar"/>
    <w:uiPriority w:val="99"/>
    <w:semiHidden/>
    <w:unhideWhenUsed/>
    <w:rsid w:val="00290AD9"/>
    <w:rPr>
      <w:sz w:val="20"/>
      <w:szCs w:val="20"/>
    </w:rPr>
  </w:style>
  <w:style w:type="character" w:customStyle="1" w:styleId="CommentTextChar">
    <w:name w:val="Comment Text Char"/>
    <w:basedOn w:val="DefaultParagraphFont"/>
    <w:link w:val="CommentText"/>
    <w:uiPriority w:val="99"/>
    <w:semiHidden/>
    <w:rsid w:val="00290AD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90A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D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290AD9"/>
    <w:rPr>
      <w:b/>
      <w:bCs/>
    </w:rPr>
  </w:style>
  <w:style w:type="character" w:customStyle="1" w:styleId="CommentSubjectChar">
    <w:name w:val="Comment Subject Char"/>
    <w:basedOn w:val="CommentTextChar"/>
    <w:link w:val="CommentSubject"/>
    <w:uiPriority w:val="99"/>
    <w:semiHidden/>
    <w:rsid w:val="00290AD9"/>
    <w:rPr>
      <w:rFonts w:ascii="Calibri" w:eastAsia="Calibri" w:hAnsi="Calibri" w:cs="Times New Roman"/>
      <w:b/>
      <w:bCs/>
      <w:sz w:val="20"/>
      <w:szCs w:val="20"/>
    </w:rPr>
  </w:style>
  <w:style w:type="paragraph" w:styleId="HTMLPreformatted">
    <w:name w:val="HTML Preformatted"/>
    <w:basedOn w:val="Normal"/>
    <w:link w:val="HTMLPreformattedChar"/>
    <w:uiPriority w:val="99"/>
    <w:unhideWhenUsed/>
    <w:rsid w:val="00290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290AD9"/>
    <w:rPr>
      <w:rFonts w:ascii="Courier New" w:eastAsia="Times New Roman" w:hAnsi="Courier New" w:cs="Times New Roman"/>
      <w:sz w:val="20"/>
      <w:szCs w:val="20"/>
    </w:rPr>
  </w:style>
  <w:style w:type="paragraph" w:styleId="ListParagraph">
    <w:name w:val="List Paragraph"/>
    <w:basedOn w:val="Normal"/>
    <w:uiPriority w:val="34"/>
    <w:qFormat/>
    <w:rsid w:val="00290AD9"/>
    <w:pPr>
      <w:spacing w:after="0"/>
      <w:ind w:left="720"/>
      <w:contextualSpacing/>
    </w:pPr>
    <w:rPr>
      <w:sz w:val="22"/>
      <w:szCs w:val="24"/>
    </w:rPr>
  </w:style>
  <w:style w:type="paragraph" w:styleId="FootnoteText">
    <w:name w:val="footnote text"/>
    <w:basedOn w:val="Normal"/>
    <w:link w:val="FootnoteTextChar"/>
    <w:uiPriority w:val="99"/>
    <w:semiHidden/>
    <w:unhideWhenUsed/>
    <w:rsid w:val="005319E0"/>
    <w:pPr>
      <w:spacing w:after="0"/>
    </w:pPr>
    <w:rPr>
      <w:sz w:val="20"/>
      <w:szCs w:val="20"/>
    </w:rPr>
  </w:style>
  <w:style w:type="character" w:customStyle="1" w:styleId="FootnoteTextChar">
    <w:name w:val="Footnote Text Char"/>
    <w:basedOn w:val="DefaultParagraphFont"/>
    <w:link w:val="FootnoteText"/>
    <w:uiPriority w:val="99"/>
    <w:semiHidden/>
    <w:rsid w:val="005319E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319E0"/>
    <w:rPr>
      <w:vertAlign w:val="superscript"/>
    </w:rPr>
  </w:style>
  <w:style w:type="paragraph" w:customStyle="1" w:styleId="Default">
    <w:name w:val="Default"/>
    <w:rsid w:val="007428BB"/>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361025"/>
    <w:pPr>
      <w:spacing w:after="0" w:line="240" w:lineRule="auto"/>
    </w:pPr>
    <w:rPr>
      <w:rFonts w:ascii="Calibri" w:eastAsia="Calibri" w:hAnsi="Calibri" w:cs="Times New Roman"/>
      <w:sz w:val="24"/>
    </w:rPr>
  </w:style>
  <w:style w:type="paragraph" w:styleId="Header">
    <w:name w:val="header"/>
    <w:basedOn w:val="Normal"/>
    <w:link w:val="HeaderChar"/>
    <w:uiPriority w:val="99"/>
    <w:unhideWhenUsed/>
    <w:rsid w:val="00E56C26"/>
    <w:pPr>
      <w:tabs>
        <w:tab w:val="center" w:pos="4513"/>
        <w:tab w:val="right" w:pos="9026"/>
      </w:tabs>
      <w:spacing w:after="0"/>
    </w:pPr>
  </w:style>
  <w:style w:type="character" w:customStyle="1" w:styleId="HeaderChar">
    <w:name w:val="Header Char"/>
    <w:basedOn w:val="DefaultParagraphFont"/>
    <w:link w:val="Header"/>
    <w:uiPriority w:val="99"/>
    <w:rsid w:val="00E56C26"/>
    <w:rPr>
      <w:rFonts w:ascii="Calibri" w:eastAsia="Calibri" w:hAnsi="Calibri" w:cs="Times New Roman"/>
      <w:sz w:val="24"/>
    </w:rPr>
  </w:style>
  <w:style w:type="paragraph" w:styleId="Footer">
    <w:name w:val="footer"/>
    <w:basedOn w:val="Normal"/>
    <w:link w:val="FooterChar"/>
    <w:uiPriority w:val="99"/>
    <w:unhideWhenUsed/>
    <w:rsid w:val="00E56C26"/>
    <w:pPr>
      <w:tabs>
        <w:tab w:val="center" w:pos="4513"/>
        <w:tab w:val="right" w:pos="9026"/>
      </w:tabs>
      <w:spacing w:after="0"/>
    </w:pPr>
  </w:style>
  <w:style w:type="character" w:customStyle="1" w:styleId="FooterChar">
    <w:name w:val="Footer Char"/>
    <w:basedOn w:val="DefaultParagraphFont"/>
    <w:link w:val="Footer"/>
    <w:uiPriority w:val="99"/>
    <w:rsid w:val="00E56C26"/>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7E29E-0F99-4DCE-AFD9-F51DC585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2018-07-20T06:33:00Z</dcterms:created>
  <dcterms:modified xsi:type="dcterms:W3CDTF">2018-07-20T08:24:00Z</dcterms:modified>
</cp:coreProperties>
</file>